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EFD797" w14:textId="77777777" w:rsidR="00F43CE8" w:rsidRDefault="00F43CE8" w:rsidP="00F43CE8">
      <w:pPr>
        <w:widowControl w:val="0"/>
        <w:autoSpaceDE w:val="0"/>
        <w:autoSpaceDN w:val="0"/>
        <w:adjustRightInd w:val="0"/>
        <w:rPr>
          <w:rFonts w:ascii="Helvetica" w:hAnsi="Helvetica" w:cs="Helvetica"/>
          <w:sz w:val="78"/>
          <w:szCs w:val="78"/>
        </w:rPr>
      </w:pPr>
      <w:r>
        <w:rPr>
          <w:rFonts w:ascii="Helvetica" w:hAnsi="Helvetica" w:cs="Helvetica"/>
          <w:color w:val="080808"/>
          <w:sz w:val="78"/>
          <w:szCs w:val="78"/>
        </w:rPr>
        <w:t>International Business Machines (IBM) Corporation, 2015</w:t>
      </w:r>
    </w:p>
    <w:p w14:paraId="382E7973" w14:textId="77777777" w:rsidR="00F43CE8" w:rsidRDefault="00F43CE8" w:rsidP="00F43CE8">
      <w:pPr>
        <w:widowControl w:val="0"/>
        <w:autoSpaceDE w:val="0"/>
        <w:autoSpaceDN w:val="0"/>
        <w:adjustRightInd w:val="0"/>
        <w:rPr>
          <w:rFonts w:ascii="Helvetica" w:hAnsi="Helvetica" w:cs="Helvetica"/>
          <w:color w:val="444444"/>
          <w:sz w:val="40"/>
          <w:szCs w:val="40"/>
        </w:rPr>
      </w:pPr>
      <w:hyperlink r:id="rId5" w:history="1">
        <w:r>
          <w:rPr>
            <w:rFonts w:ascii="Helvetica" w:hAnsi="Helvetica" w:cs="Helvetica"/>
            <w:b/>
            <w:bCs/>
            <w:color w:val="EF2D37"/>
            <w:sz w:val="40"/>
            <w:szCs w:val="40"/>
          </w:rPr>
          <w:t>www.ibm.com</w:t>
        </w:r>
      </w:hyperlink>
      <w:r>
        <w:rPr>
          <w:rFonts w:ascii="Helvetica" w:hAnsi="Helvetica" w:cs="Helvetica"/>
          <w:b/>
          <w:bCs/>
          <w:color w:val="444444"/>
          <w:sz w:val="40"/>
          <w:szCs w:val="40"/>
        </w:rPr>
        <w:t>, IBM</w:t>
      </w:r>
    </w:p>
    <w:p w14:paraId="69F5F017"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Headquartered in Armonk, New York, IBM has over 430,000 employees worldwide that provide information technology (IT) products and services. IBM manufactures and markets computer hardware and software, and offers infrastructure, hosting, and consulting services in areas ranging from business analytics and mainframe computers to nanotechnology. IBM has more than a dozen research laboratories worldwide. For 22 consecutive years, IBM has held the record for most patents generated by a company. IBM sold its personal computer (PC) and low-end (x86) server businesses to Lenovo in 2005 and 2014 for $1.25 billion and $2.3 billion, respectively.</w:t>
      </w:r>
    </w:p>
    <w:p w14:paraId="1B088EDB"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Disappointing Wall Street has become the trend for IBM, whose stock was the worst performer among the 30 in the Dow Jones industrial average in both 2014 and 2013—an ominous, dubious distinction for a company historically known as Big Blue. In October 2014, after 10 quarters of flat or declining sales, IBM’s CEO Virginia Rometty said, “Our results this quarter are disappointing; we’ve got to reinvent ourselves.”</w:t>
      </w:r>
    </w:p>
    <w:p w14:paraId="325D1BA3"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In 2015, IBM paid $1.5 billion to </w:t>
      </w:r>
      <w:proofErr w:type="spellStart"/>
      <w:r>
        <w:rPr>
          <w:rFonts w:ascii="Helvetica" w:hAnsi="Helvetica" w:cs="Helvetica"/>
          <w:color w:val="080808"/>
          <w:sz w:val="32"/>
          <w:szCs w:val="32"/>
        </w:rPr>
        <w:t>Globalfoundries</w:t>
      </w:r>
      <w:proofErr w:type="spellEnd"/>
      <w:r>
        <w:rPr>
          <w:rFonts w:ascii="Helvetica" w:hAnsi="Helvetica" w:cs="Helvetica"/>
          <w:color w:val="080808"/>
          <w:sz w:val="32"/>
          <w:szCs w:val="32"/>
        </w:rPr>
        <w:t xml:space="preserve"> in order to divest its costly chip division. It is very unusual for any firm (in this case IBM) to pay another firm to acquire a division of your own firm. IBM is making payments to the chipmaker over three years. In the deal, privately held </w:t>
      </w:r>
      <w:proofErr w:type="spellStart"/>
      <w:r>
        <w:rPr>
          <w:rFonts w:ascii="Helvetica" w:hAnsi="Helvetica" w:cs="Helvetica"/>
          <w:color w:val="080808"/>
          <w:sz w:val="32"/>
          <w:szCs w:val="32"/>
        </w:rPr>
        <w:t>Globalfoundries</w:t>
      </w:r>
      <w:proofErr w:type="spellEnd"/>
      <w:r>
        <w:rPr>
          <w:rFonts w:ascii="Helvetica" w:hAnsi="Helvetica" w:cs="Helvetica"/>
          <w:color w:val="080808"/>
          <w:sz w:val="32"/>
          <w:szCs w:val="32"/>
        </w:rPr>
        <w:t xml:space="preserve"> obtained IBM’s global commercial semiconductor technology business, including intellectual property and technologies related to IBM </w:t>
      </w:r>
      <w:r>
        <w:rPr>
          <w:rFonts w:ascii="Helvetica" w:hAnsi="Helvetica" w:cs="Helvetica"/>
          <w:color w:val="080808"/>
          <w:sz w:val="32"/>
          <w:szCs w:val="32"/>
        </w:rPr>
        <w:lastRenderedPageBreak/>
        <w:t xml:space="preserve">Microelectronics. Also, </w:t>
      </w:r>
      <w:proofErr w:type="spellStart"/>
      <w:r>
        <w:rPr>
          <w:rFonts w:ascii="Helvetica" w:hAnsi="Helvetica" w:cs="Helvetica"/>
          <w:color w:val="080808"/>
          <w:sz w:val="32"/>
          <w:szCs w:val="32"/>
        </w:rPr>
        <w:t>Globalfoundries</w:t>
      </w:r>
      <w:proofErr w:type="spellEnd"/>
      <w:r>
        <w:rPr>
          <w:rFonts w:ascii="Helvetica" w:hAnsi="Helvetica" w:cs="Helvetica"/>
          <w:color w:val="080808"/>
          <w:sz w:val="32"/>
          <w:szCs w:val="32"/>
        </w:rPr>
        <w:t xml:space="preserve"> obtained IBM’s semiconductor manufacturing operations and plants in East Fishkill, New York, and in Essex Junction, Vermont, as well as access to thousands of patents and IBM’s commercial microelectronics business. </w:t>
      </w:r>
      <w:proofErr w:type="spellStart"/>
      <w:r>
        <w:rPr>
          <w:rFonts w:ascii="Helvetica" w:hAnsi="Helvetica" w:cs="Helvetica"/>
          <w:color w:val="080808"/>
          <w:sz w:val="32"/>
          <w:szCs w:val="32"/>
        </w:rPr>
        <w:t>Globalfoundries</w:t>
      </w:r>
      <w:proofErr w:type="spellEnd"/>
      <w:r>
        <w:rPr>
          <w:rFonts w:ascii="Helvetica" w:hAnsi="Helvetica" w:cs="Helvetica"/>
          <w:color w:val="080808"/>
          <w:sz w:val="32"/>
          <w:szCs w:val="32"/>
        </w:rPr>
        <w:t xml:space="preserve"> is now IBM’s exclusive server processor semiconductor technology provider for 22 nanometer (nm), 14nm, and 10nm semiconductors for the next 10 years.</w:t>
      </w:r>
    </w:p>
    <w:p w14:paraId="38F9F8E8"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In August 2015, IBM acquired Merge Healthcare, which provides medical images and clinical systems, in a $1 billion deal in order to combine that company with its Watson Health analytics unit. IBM plans to combine data and images from Merge Healthcare’s medical imaging management platform with Watson’s cloud-based computing platform that analyzes high volumes of data, understands complex questions posed in natural language, and proposes evidence-based answers.</w:t>
      </w:r>
    </w:p>
    <w:p w14:paraId="68CEBB10"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A huge partner with Apple, IBM in July 2015 launched a new service that will help other corporations make the same leap from Windows to the MacBook and iPad that it has done over the last several years. The new service takes the lessons IBM just learned by installing more than 110,000 Apple devices, including iPads, </w:t>
      </w:r>
      <w:proofErr w:type="spellStart"/>
      <w:r>
        <w:rPr>
          <w:rFonts w:ascii="Helvetica" w:hAnsi="Helvetica" w:cs="Helvetica"/>
          <w:color w:val="080808"/>
          <w:sz w:val="32"/>
          <w:szCs w:val="32"/>
        </w:rPr>
        <w:t>MacBooks</w:t>
      </w:r>
      <w:proofErr w:type="spellEnd"/>
      <w:r>
        <w:rPr>
          <w:rFonts w:ascii="Helvetica" w:hAnsi="Helvetica" w:cs="Helvetica"/>
          <w:color w:val="080808"/>
          <w:sz w:val="32"/>
          <w:szCs w:val="32"/>
        </w:rPr>
        <w:t>, and iPhones, across its own company, helping corporate clients make the same kind of wide-reaching tech turnover.</w:t>
      </w:r>
    </w:p>
    <w:p w14:paraId="5DEB4C66"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In June 2015, IBM acquired Compose, a database-as-a-service startup established in Birmingham, Alabama. Compose provides database services for companies so their engineers can focus on mobile and web development. Now headquartered in San Mateo, California, </w:t>
      </w:r>
      <w:proofErr w:type="gramStart"/>
      <w:r>
        <w:rPr>
          <w:rFonts w:ascii="Helvetica" w:hAnsi="Helvetica" w:cs="Helvetica"/>
          <w:color w:val="080808"/>
          <w:sz w:val="32"/>
          <w:szCs w:val="32"/>
        </w:rPr>
        <w:t>Compose</w:t>
      </w:r>
      <w:proofErr w:type="gramEnd"/>
      <w:r>
        <w:rPr>
          <w:rFonts w:ascii="Helvetica" w:hAnsi="Helvetica" w:cs="Helvetica"/>
          <w:color w:val="080808"/>
          <w:sz w:val="32"/>
          <w:szCs w:val="32"/>
        </w:rPr>
        <w:t xml:space="preserve"> serves about 3,600 clients and recently rebranded from </w:t>
      </w:r>
      <w:proofErr w:type="spellStart"/>
      <w:r>
        <w:rPr>
          <w:rFonts w:ascii="Helvetica" w:hAnsi="Helvetica" w:cs="Helvetica"/>
          <w:color w:val="080808"/>
          <w:sz w:val="32"/>
          <w:szCs w:val="32"/>
        </w:rPr>
        <w:t>MongoHQ</w:t>
      </w:r>
      <w:proofErr w:type="spellEnd"/>
      <w:r>
        <w:rPr>
          <w:rFonts w:ascii="Helvetica" w:hAnsi="Helvetica" w:cs="Helvetica"/>
          <w:color w:val="080808"/>
          <w:sz w:val="32"/>
          <w:szCs w:val="32"/>
        </w:rPr>
        <w:t>.</w:t>
      </w:r>
    </w:p>
    <w:p w14:paraId="26DEBB00" w14:textId="77777777" w:rsidR="00F43CE8" w:rsidRDefault="00F43CE8" w:rsidP="00F43CE8">
      <w:pPr>
        <w:widowControl w:val="0"/>
        <w:autoSpaceDE w:val="0"/>
        <w:autoSpaceDN w:val="0"/>
        <w:adjustRightInd w:val="0"/>
        <w:rPr>
          <w:rFonts w:ascii="Helvetica" w:hAnsi="Helvetica" w:cs="Helvetica"/>
          <w:i/>
          <w:iCs/>
          <w:color w:val="080808"/>
          <w:sz w:val="22"/>
          <w:szCs w:val="22"/>
        </w:rPr>
      </w:pPr>
      <w:r>
        <w:rPr>
          <w:rFonts w:ascii="Helvetica" w:hAnsi="Helvetica" w:cs="Helvetica"/>
          <w:i/>
          <w:iCs/>
          <w:color w:val="080808"/>
          <w:sz w:val="22"/>
          <w:szCs w:val="22"/>
        </w:rPr>
        <w:t xml:space="preserve">Copyright by Fred David Books LLC. </w:t>
      </w:r>
      <w:hyperlink r:id="rId6" w:history="1">
        <w:r>
          <w:rPr>
            <w:rFonts w:ascii="Helvetica" w:hAnsi="Helvetica" w:cs="Helvetica"/>
            <w:i/>
            <w:iCs/>
            <w:color w:val="EF2D37"/>
            <w:sz w:val="22"/>
            <w:szCs w:val="22"/>
          </w:rPr>
          <w:t>www.strategyclub.com</w:t>
        </w:r>
      </w:hyperlink>
      <w:r>
        <w:rPr>
          <w:rFonts w:ascii="Helvetica" w:hAnsi="Helvetica" w:cs="Helvetica"/>
          <w:i/>
          <w:iCs/>
          <w:color w:val="080808"/>
          <w:sz w:val="22"/>
          <w:szCs w:val="22"/>
        </w:rPr>
        <w:t xml:space="preserve"> (Written by Forest R. David)</w:t>
      </w:r>
    </w:p>
    <w:p w14:paraId="49B8AF97" w14:textId="77777777" w:rsidR="00F43CE8" w:rsidRDefault="00F43CE8" w:rsidP="00F43CE8">
      <w:pPr>
        <w:widowControl w:val="0"/>
        <w:autoSpaceDE w:val="0"/>
        <w:autoSpaceDN w:val="0"/>
        <w:adjustRightInd w:val="0"/>
        <w:rPr>
          <w:rFonts w:ascii="Helvetica" w:hAnsi="Helvetica" w:cs="Helvetica"/>
          <w:color w:val="444444"/>
          <w:sz w:val="68"/>
          <w:szCs w:val="68"/>
        </w:rPr>
      </w:pPr>
      <w:r>
        <w:rPr>
          <w:rFonts w:ascii="Helvetica" w:hAnsi="Helvetica" w:cs="Helvetica"/>
          <w:color w:val="444444"/>
          <w:sz w:val="68"/>
          <w:szCs w:val="68"/>
        </w:rPr>
        <w:t>History</w:t>
      </w:r>
    </w:p>
    <w:p w14:paraId="4D34FD5C"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IBM began business in the 1800s with the Tabulating Machine Company, the International Time Recording Company, and the Computing Scale Company of America, all independently operating separately as distinct corporations. In 1911, the merger of these firms was completed, creating the Computing-Tabulating-Recording Company; the name was changed to International Business Machines (IBM) in 1924. IBM has worked diligently in the last decade to shift resources and strategy away from manufacturing into service industries. For example, IBM acquired SPSS and </w:t>
      </w:r>
      <w:proofErr w:type="spellStart"/>
      <w:r>
        <w:rPr>
          <w:rFonts w:ascii="Helvetica" w:hAnsi="Helvetica" w:cs="Helvetica"/>
          <w:color w:val="080808"/>
          <w:sz w:val="32"/>
          <w:szCs w:val="32"/>
        </w:rPr>
        <w:t>Cognos</w:t>
      </w:r>
      <w:proofErr w:type="spellEnd"/>
      <w:r>
        <w:rPr>
          <w:rFonts w:ascii="Helvetica" w:hAnsi="Helvetica" w:cs="Helvetica"/>
          <w:color w:val="080808"/>
          <w:sz w:val="32"/>
          <w:szCs w:val="32"/>
        </w:rPr>
        <w:t xml:space="preserve"> (data analytics software) in 2009 for $1.2 billion. IBM plans to keep its high-end server business, which is less prone to commoditization by other firms’ products.</w:t>
      </w:r>
    </w:p>
    <w:p w14:paraId="04E89388"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In 2013, IBM acquired </w:t>
      </w:r>
      <w:proofErr w:type="spellStart"/>
      <w:r>
        <w:rPr>
          <w:rFonts w:ascii="Helvetica" w:hAnsi="Helvetica" w:cs="Helvetica"/>
          <w:color w:val="080808"/>
          <w:sz w:val="32"/>
          <w:szCs w:val="32"/>
        </w:rPr>
        <w:t>SoftLayer</w:t>
      </w:r>
      <w:proofErr w:type="spellEnd"/>
      <w:r>
        <w:rPr>
          <w:rFonts w:ascii="Helvetica" w:hAnsi="Helvetica" w:cs="Helvetica"/>
          <w:color w:val="080808"/>
          <w:sz w:val="32"/>
          <w:szCs w:val="32"/>
        </w:rPr>
        <w:t xml:space="preserve"> Technologies, a web hosting service, for about $2 billion. A year later, IBM initiated a partnership with Apple Inc. in enterprise mobility and also acquired the business operations of Lighthouse Security Group, LLC, a premier cloud security services provider. Financial terms were not disclosed. IBM executives accepted no bonuses in 2014 for fiscal year 2013, because the firm reported a 5 percent drop in sales and a 1 percent decline in net profit for 2013. Today, IBM is investing more than $1.2 billion, expanding its data centers and cloud-storage business and building 15 new centers, bringing the total to 40 in 2014.</w:t>
      </w:r>
    </w:p>
    <w:p w14:paraId="69708B77"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The company is heavily involved in providing business consulting and business analytics services. It is investing $3 billion between 2014 and 2019 to create computer functionality to resemble how the human brain thinks. IBM says its goal is to design a neural chip that mimics the human brain, with 10 billion neurons and 100 trillion synapses, but that uses just 1 kilowatt of power.</w:t>
      </w:r>
    </w:p>
    <w:p w14:paraId="1DA343E0"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In late 2014, IBM signed an extensive cooperative agreement with Twitter Inc. to gain access to all tweets posted now and previously to 2006, so the 10,000+ IBM consultants can help solve client problems using IBM’s business analytics software. Both Twitter and IBM, as part of the agreement, are now developing data offerings for specific industries, such a banking, retail, travel, and transportation. IBM’s CEO Rometty personally negotiated with Twitters’ CEO </w:t>
      </w:r>
      <w:proofErr w:type="spellStart"/>
      <w:r>
        <w:rPr>
          <w:rFonts w:ascii="Helvetica" w:hAnsi="Helvetica" w:cs="Helvetica"/>
          <w:color w:val="080808"/>
          <w:sz w:val="32"/>
          <w:szCs w:val="32"/>
        </w:rPr>
        <w:t>Costolo</w:t>
      </w:r>
      <w:proofErr w:type="spellEnd"/>
      <w:r>
        <w:rPr>
          <w:rFonts w:ascii="Helvetica" w:hAnsi="Helvetica" w:cs="Helvetica"/>
          <w:color w:val="080808"/>
          <w:sz w:val="32"/>
          <w:szCs w:val="32"/>
        </w:rPr>
        <w:t xml:space="preserve"> to forge the partnership.</w:t>
      </w:r>
    </w:p>
    <w:p w14:paraId="1B6FB494"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Also in late 2014, IBM introduced a new email service called IBM Verse to complement its IBM Notes software suite. With Verse, IBM hopes to address common complaints that customers have with </w:t>
      </w:r>
      <w:proofErr w:type="spellStart"/>
      <w:r>
        <w:rPr>
          <w:rFonts w:ascii="Helvetica" w:hAnsi="Helvetica" w:cs="Helvetica"/>
          <w:color w:val="080808"/>
          <w:sz w:val="32"/>
          <w:szCs w:val="32"/>
        </w:rPr>
        <w:t>gmail</w:t>
      </w:r>
      <w:proofErr w:type="spellEnd"/>
      <w:r>
        <w:rPr>
          <w:rFonts w:ascii="Helvetica" w:hAnsi="Helvetica" w:cs="Helvetica"/>
          <w:color w:val="080808"/>
          <w:sz w:val="32"/>
          <w:szCs w:val="32"/>
        </w:rPr>
        <w:t>, Yahoo! email, and AOL email services, such as filter problems, spam, and weak tracking features. In early 2015, IBM announced a new product called the z13, a machine about the size of an extra-large refrigerator that reportedly is the most sophisticated computer ever built. IBM says the z13 can complete 2.5 billion transactions a day, and analysts say the product will generate $2.3 billion in revenue in 2015. Mainframe computers such as the z13 generate about 20 percent of IBM’s revenues.</w:t>
      </w:r>
    </w:p>
    <w:p w14:paraId="276F6131"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For the second quarter of 2015 that ended June 30, IBM’s revenues fell 13 percent year-over-year to $20.8 billion, and company earnings also declined 13 percent from the year-ago period. Part of the decline was the result of IBM selling its System X server business to China’s Lenovo. For Q2, IBM’s sales fell 8 percent in the Americas region, but only 2 percent when backing out currency and System X effects. In IBM’s Asia-Pacific segment, revenues declined 19 percent, and in the Europe/Middle East/Africa segment, revenues dropped 17 percent. In the BRIC bloc of Brazil, Russia, India, and China, IBM’s revenues declined 35 percent. Even after backing out the System X and currency valuation events, IBM’s organic sales to the BRIC markets fell 18 percent year-over-year.</w:t>
      </w:r>
    </w:p>
    <w:p w14:paraId="76F05CF4"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Also in Q2, IBM’s business and technology services segment revenues declined 11 percent year-over-year, while the company’s software sales decreased 10 percent. The company’s hardware segment revenues declined 32 percent and now comprises only 9.6 percent of Big Blue’s revenues, as the company has almost totally transitioned away from hardware. On a positive note for Q2, IBM’s “strategic imperatives” increased sales significantly. Specifically, the firm’s cloud computing revenues rose more than 70 percent, backing out the currency and System X sale again. Similarly, business analytics revenues at IBM grew more than 20 percent, mobile services sales quadrupled, and the company’s social revenues jumped 30 percent.</w:t>
      </w:r>
    </w:p>
    <w:p w14:paraId="7E2AF9C4" w14:textId="77777777" w:rsidR="00F43CE8" w:rsidRDefault="00F43CE8" w:rsidP="00F43CE8">
      <w:pPr>
        <w:widowControl w:val="0"/>
        <w:autoSpaceDE w:val="0"/>
        <w:autoSpaceDN w:val="0"/>
        <w:adjustRightInd w:val="0"/>
        <w:rPr>
          <w:rFonts w:ascii="Helvetica" w:hAnsi="Helvetica" w:cs="Helvetica"/>
          <w:color w:val="444444"/>
          <w:sz w:val="68"/>
          <w:szCs w:val="68"/>
        </w:rPr>
      </w:pPr>
      <w:r>
        <w:rPr>
          <w:rFonts w:ascii="Helvetica" w:hAnsi="Helvetica" w:cs="Helvetica"/>
          <w:color w:val="444444"/>
          <w:sz w:val="68"/>
          <w:szCs w:val="68"/>
        </w:rPr>
        <w:t>Values, Vision, Mission</w:t>
      </w:r>
    </w:p>
    <w:p w14:paraId="51BCE198"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In 2003, IBM executives and over 300,000 employees convened for the first time in 100 years to reestablish and reanalyze the company’s core values and existing mission statement. Core values, according to top management at IBM, are more than ethics and legal compliance. From that 2003, 72-hour discussion, IBM decided on these three core values that all IBM employees globally are expected to live every day. Although vague, the values are:</w:t>
      </w:r>
    </w:p>
    <w:p w14:paraId="562754C4" w14:textId="77777777" w:rsidR="00F43CE8" w:rsidRDefault="00F43CE8" w:rsidP="00F43CE8">
      <w:pPr>
        <w:widowControl w:val="0"/>
        <w:numPr>
          <w:ilvl w:val="0"/>
          <w:numId w:val="1"/>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color w:val="080808"/>
          <w:sz w:val="32"/>
          <w:szCs w:val="32"/>
        </w:rPr>
        <w:t>Dedication to every client’s success</w:t>
      </w:r>
    </w:p>
    <w:p w14:paraId="3DEBC728" w14:textId="77777777" w:rsidR="00F43CE8" w:rsidRDefault="00F43CE8" w:rsidP="00F43CE8">
      <w:pPr>
        <w:widowControl w:val="0"/>
        <w:numPr>
          <w:ilvl w:val="0"/>
          <w:numId w:val="1"/>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color w:val="080808"/>
          <w:sz w:val="32"/>
          <w:szCs w:val="32"/>
        </w:rPr>
        <w:t>Innovation that matters for our company and the world</w:t>
      </w:r>
    </w:p>
    <w:p w14:paraId="19442F36" w14:textId="77777777" w:rsidR="00F43CE8" w:rsidRDefault="00F43CE8" w:rsidP="00F43CE8">
      <w:pPr>
        <w:widowControl w:val="0"/>
        <w:numPr>
          <w:ilvl w:val="0"/>
          <w:numId w:val="1"/>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color w:val="080808"/>
          <w:sz w:val="32"/>
          <w:szCs w:val="32"/>
        </w:rPr>
        <w:t>Trust and personal responsibility in all relationships</w:t>
      </w:r>
    </w:p>
    <w:p w14:paraId="67D3F0BF"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At the 2003 meeting, IBM abandoned its existing more formal mission statement. As of 2015, there is still no formal mission or vision statement provided on any literature published on IBM’s website. Lacking written vision and mission statements to guide strategy and direction, it is unclear whether IBM has the necessary foundation to make clear strategy decisions moving forward.</w:t>
      </w:r>
    </w:p>
    <w:p w14:paraId="48C7D030"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IBM is exemplary regarding workplace equality. It is no accident that IBM’s CEO is a woman, Virginia Rometty. IBM provides same-sex partners of its employees with health benefits and provides an anti-discrimination clause. The Human Rights Campaign for 10 consecutive years has rated IBM 100 percent on its index of gay-friendliness. In recent years, IBM UK has ranked first in </w:t>
      </w:r>
      <w:proofErr w:type="spellStart"/>
      <w:r>
        <w:rPr>
          <w:rFonts w:ascii="Helvetica" w:hAnsi="Helvetica" w:cs="Helvetica"/>
          <w:color w:val="080808"/>
          <w:sz w:val="32"/>
          <w:szCs w:val="32"/>
        </w:rPr>
        <w:t>Stonewall’s</w:t>
      </w:r>
      <w:proofErr w:type="spellEnd"/>
      <w:r>
        <w:rPr>
          <w:rFonts w:ascii="Helvetica" w:hAnsi="Helvetica" w:cs="Helvetica"/>
          <w:color w:val="080808"/>
          <w:sz w:val="32"/>
          <w:szCs w:val="32"/>
        </w:rPr>
        <w:t xml:space="preserve"> annual Workplace Equality Index for United Kingdom (UK) employers.</w:t>
      </w:r>
    </w:p>
    <w:p w14:paraId="348AA47E" w14:textId="77777777" w:rsidR="00F43CE8" w:rsidRDefault="00F43CE8" w:rsidP="00F43CE8">
      <w:pPr>
        <w:widowControl w:val="0"/>
        <w:autoSpaceDE w:val="0"/>
        <w:autoSpaceDN w:val="0"/>
        <w:adjustRightInd w:val="0"/>
        <w:rPr>
          <w:rFonts w:ascii="Helvetica" w:hAnsi="Helvetica" w:cs="Helvetica"/>
          <w:color w:val="444444"/>
          <w:sz w:val="68"/>
          <w:szCs w:val="68"/>
        </w:rPr>
      </w:pPr>
      <w:r>
        <w:rPr>
          <w:rFonts w:ascii="Helvetica" w:hAnsi="Helvetica" w:cs="Helvetica"/>
          <w:color w:val="444444"/>
          <w:sz w:val="68"/>
          <w:szCs w:val="68"/>
        </w:rPr>
        <w:t>Internal Issues</w:t>
      </w:r>
    </w:p>
    <w:p w14:paraId="45D5548F"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Organizational Structure</w:t>
      </w:r>
    </w:p>
    <w:p w14:paraId="2419C32C"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Many analysts do not consider IBM’s organizational structure to be exemplary. There is no chief operating officer or chief administrative office, the divisions are named in somewhat obscure ways, and the CEO is also the chairperson and president. No actual chart could be obtained, but a depiction of IBM’s probable structure is given in </w:t>
      </w:r>
      <w:hyperlink r:id="rId7" w:history="1">
        <w:r>
          <w:rPr>
            <w:rFonts w:ascii="Helvetica" w:hAnsi="Helvetica" w:cs="Helvetica"/>
            <w:color w:val="EF2D37"/>
            <w:sz w:val="32"/>
            <w:szCs w:val="32"/>
          </w:rPr>
          <w:t>Exhibit 1</w:t>
        </w:r>
      </w:hyperlink>
      <w:r>
        <w:rPr>
          <w:rFonts w:ascii="Helvetica" w:hAnsi="Helvetica" w:cs="Helvetica"/>
          <w:color w:val="080808"/>
          <w:sz w:val="32"/>
          <w:szCs w:val="32"/>
        </w:rPr>
        <w:t>.</w:t>
      </w:r>
    </w:p>
    <w:p w14:paraId="0B6144EE" w14:textId="77777777" w:rsidR="00F43CE8" w:rsidRDefault="00F43CE8" w:rsidP="00F43CE8">
      <w:pPr>
        <w:widowControl w:val="0"/>
        <w:autoSpaceDE w:val="0"/>
        <w:autoSpaceDN w:val="0"/>
        <w:adjustRightInd w:val="0"/>
        <w:rPr>
          <w:rFonts w:ascii="Helvetica" w:hAnsi="Helvetica" w:cs="Helvetica"/>
          <w:color w:val="080808"/>
          <w:sz w:val="32"/>
          <w:szCs w:val="32"/>
        </w:rPr>
      </w:pPr>
      <w:proofErr w:type="gramStart"/>
      <w:r>
        <w:rPr>
          <w:rFonts w:ascii="Helvetica" w:hAnsi="Helvetica" w:cs="Helvetica"/>
          <w:color w:val="080808"/>
          <w:sz w:val="32"/>
          <w:szCs w:val="32"/>
        </w:rPr>
        <w:t>EOF:P</w:t>
      </w:r>
      <w:proofErr w:type="gramEnd"/>
      <w:r>
        <w:rPr>
          <w:rFonts w:ascii="Helvetica" w:hAnsi="Helvetica" w:cs="Helvetica"/>
          <w:color w:val="080808"/>
          <w:sz w:val="32"/>
          <w:szCs w:val="32"/>
        </w:rPr>
        <w:t>7000499184000000000000000005F4F EOF:P7000499184000000000000000005F58 EOF:P7000499184000000000000000005FA4</w:t>
      </w:r>
    </w:p>
    <w:p w14:paraId="2D9E1F0D" w14:textId="77777777" w:rsidR="00F43CE8" w:rsidRDefault="00F43CE8" w:rsidP="00F43CE8">
      <w:pPr>
        <w:widowControl w:val="0"/>
        <w:autoSpaceDE w:val="0"/>
        <w:autoSpaceDN w:val="0"/>
        <w:adjustRightInd w:val="0"/>
        <w:rPr>
          <w:rFonts w:ascii="Helvetica" w:hAnsi="Helvetica" w:cs="Helvetica"/>
          <w:b/>
          <w:bCs/>
          <w:color w:val="080808"/>
          <w:sz w:val="32"/>
          <w:szCs w:val="32"/>
        </w:rPr>
      </w:pPr>
      <w:r>
        <w:rPr>
          <w:rFonts w:ascii="Helvetica" w:hAnsi="Helvetica" w:cs="Helvetica"/>
          <w:b/>
          <w:bCs/>
          <w:color w:val="080808"/>
          <w:sz w:val="36"/>
          <w:szCs w:val="36"/>
        </w:rPr>
        <w:t>Exhibit</w:t>
      </w:r>
      <w:r>
        <w:rPr>
          <w:rFonts w:ascii="Helvetica" w:hAnsi="Helvetica" w:cs="Helvetica"/>
          <w:b/>
          <w:bCs/>
          <w:color w:val="080808"/>
          <w:sz w:val="32"/>
          <w:szCs w:val="32"/>
        </w:rPr>
        <w:t xml:space="preserve"> </w:t>
      </w:r>
      <w:r>
        <w:rPr>
          <w:rFonts w:ascii="Helvetica" w:hAnsi="Helvetica" w:cs="Helvetica"/>
          <w:b/>
          <w:bCs/>
          <w:color w:val="080808"/>
          <w:sz w:val="36"/>
          <w:szCs w:val="36"/>
        </w:rPr>
        <w:t xml:space="preserve">1 </w:t>
      </w:r>
      <w:r>
        <w:rPr>
          <w:rFonts w:ascii="Helvetica" w:hAnsi="Helvetica" w:cs="Helvetica"/>
          <w:color w:val="444444"/>
          <w:sz w:val="32"/>
          <w:szCs w:val="32"/>
        </w:rPr>
        <w:t>IBM’s Organizational Structure</w:t>
      </w:r>
    </w:p>
    <w:p w14:paraId="2619FF3B" w14:textId="77777777" w:rsidR="00F43CE8" w:rsidRDefault="00F43CE8" w:rsidP="00F43CE8">
      <w:pPr>
        <w:widowControl w:val="0"/>
        <w:autoSpaceDE w:val="0"/>
        <w:autoSpaceDN w:val="0"/>
        <w:adjustRightInd w:val="0"/>
        <w:rPr>
          <w:rFonts w:ascii="Helvetica" w:hAnsi="Helvetica" w:cs="Helvetica"/>
          <w:i/>
          <w:iCs/>
          <w:color w:val="080808"/>
          <w:sz w:val="32"/>
          <w:szCs w:val="32"/>
        </w:rPr>
      </w:pPr>
      <w:r>
        <w:rPr>
          <w:rFonts w:ascii="Helvetica" w:hAnsi="Helvetica" w:cs="Helvetica"/>
          <w:i/>
          <w:iCs/>
          <w:noProof/>
          <w:color w:val="080808"/>
          <w:sz w:val="32"/>
          <w:szCs w:val="32"/>
        </w:rPr>
        <w:drawing>
          <wp:inline distT="0" distB="0" distL="0" distR="0" wp14:anchorId="21B9DD64" wp14:editId="726EFEB8">
            <wp:extent cx="12700000" cy="4470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00" cy="4470400"/>
                    </a:xfrm>
                    <a:prstGeom prst="rect">
                      <a:avLst/>
                    </a:prstGeom>
                    <a:noFill/>
                    <a:ln>
                      <a:noFill/>
                    </a:ln>
                  </pic:spPr>
                </pic:pic>
              </a:graphicData>
            </a:graphic>
          </wp:inline>
        </w:drawing>
      </w:r>
    </w:p>
    <w:p w14:paraId="4E61352D" w14:textId="77777777" w:rsidR="00F43CE8" w:rsidRDefault="00F43CE8" w:rsidP="00F43CE8">
      <w:pPr>
        <w:widowControl w:val="0"/>
        <w:autoSpaceDE w:val="0"/>
        <w:autoSpaceDN w:val="0"/>
        <w:adjustRightInd w:val="0"/>
        <w:rPr>
          <w:rFonts w:ascii="Helvetica" w:hAnsi="Helvetica" w:cs="Helvetica"/>
          <w:color w:val="444444"/>
          <w:sz w:val="22"/>
          <w:szCs w:val="22"/>
        </w:rPr>
      </w:pPr>
      <w:r>
        <w:rPr>
          <w:rFonts w:ascii="Helvetica" w:hAnsi="Helvetica" w:cs="Helvetica"/>
          <w:b/>
          <w:bCs/>
          <w:color w:val="444444"/>
          <w:sz w:val="22"/>
          <w:szCs w:val="22"/>
        </w:rPr>
        <w:t>Source:</w:t>
      </w:r>
      <w:r>
        <w:rPr>
          <w:rFonts w:ascii="Helvetica" w:hAnsi="Helvetica" w:cs="Helvetica"/>
          <w:color w:val="444444"/>
          <w:sz w:val="22"/>
          <w:szCs w:val="22"/>
        </w:rPr>
        <w:t xml:space="preserve"> Based on IBM’s Company Documents.</w:t>
      </w:r>
    </w:p>
    <w:p w14:paraId="0241E8C7"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Strategy</w:t>
      </w:r>
    </w:p>
    <w:p w14:paraId="358BBD36"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Over 60 percent of IBM employees in R&amp;D are working in fields such as “big data,” cloud computing, and other key growth initiatives. This is a drastic change from 20 years ago when over 70 percent of R&amp;D workers were focused on materials and hardware. The new IBM wants to “own the cloud,” but ironically and unfortunately for IBM, the cloud will kill profit margins on mainframes, and those profit margins are still the mainstay at IBM. Michael Holland, the principal money manager of Holland &amp; Company in New York City, says, “I am as negative on IBM as I could be. I was a long-term shareholder, and now I’m out of the stock.”</w:t>
      </w:r>
    </w:p>
    <w:p w14:paraId="4CE68CD2"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IBM’s 2013 </w:t>
      </w:r>
      <w:r>
        <w:rPr>
          <w:rFonts w:ascii="Helvetica" w:hAnsi="Helvetica" w:cs="Helvetica"/>
          <w:i/>
          <w:iCs/>
          <w:color w:val="080808"/>
          <w:sz w:val="32"/>
          <w:szCs w:val="32"/>
        </w:rPr>
        <w:t>Annual Report</w:t>
      </w:r>
      <w:r>
        <w:rPr>
          <w:rFonts w:ascii="Helvetica" w:hAnsi="Helvetica" w:cs="Helvetica"/>
          <w:color w:val="080808"/>
          <w:sz w:val="32"/>
          <w:szCs w:val="32"/>
        </w:rPr>
        <w:t xml:space="preserve"> revealed three key “strategic imperatives” moving forward. The first of three key initiatives is to focus on the area of big data, which IBM estimates will be a $187 billion industry by year-end 2015. IBM has invested over $24 billion to date, made 30 acquisitions, and has 15,000 consultants and 400 mathematicians in this area. About two thirds of all IBM’s R&amp;D is devoted to big data. With 6,000 partners and 1,000 university partnerships, IBM is committed to evolving into a big data company.</w:t>
      </w:r>
    </w:p>
    <w:p w14:paraId="43B53AB7"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The launch of IBM Watson Group in January 2014 promises to grow IBM revenues. Watson helps clients understand big data in a natural language, helping nontechnical people understand complex information more easily. Watson is working on recommending tailored treatments for cancer patients by scanning medical journals and patients’ own DNA. Watson is a vast collection of artificial intelligence and machine-learning algorithms, sometimes called “cognitive computing.” IBM has had some success with Watson-based technologies in areas such as education and health care. In 2015, IBM formed a strategic alliance with Japan’s </w:t>
      </w:r>
      <w:proofErr w:type="spellStart"/>
      <w:r>
        <w:rPr>
          <w:rFonts w:ascii="Helvetica" w:hAnsi="Helvetica" w:cs="Helvetica"/>
          <w:color w:val="080808"/>
          <w:sz w:val="32"/>
          <w:szCs w:val="32"/>
        </w:rPr>
        <w:t>SoftBank</w:t>
      </w:r>
      <w:proofErr w:type="spellEnd"/>
      <w:r>
        <w:rPr>
          <w:rFonts w:ascii="Helvetica" w:hAnsi="Helvetica" w:cs="Helvetica"/>
          <w:color w:val="080808"/>
          <w:sz w:val="32"/>
          <w:szCs w:val="32"/>
        </w:rPr>
        <w:t>, extending Watson’s reach into that country. Until now, Watson has been operating on an English-only corpus.</w:t>
      </w:r>
    </w:p>
    <w:p w14:paraId="1A9A63F0"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IBM’s second key initiative focuses on cloud computing, which IBM estimates will be a $250 billion industry by year-end 2015. Roughly 80 percent of all Fortune 500 companies today use IBM’s cloud services and IBM remains a leader in this area. IBM recently acquired </w:t>
      </w:r>
      <w:proofErr w:type="spellStart"/>
      <w:r>
        <w:rPr>
          <w:rFonts w:ascii="Helvetica" w:hAnsi="Helvetica" w:cs="Helvetica"/>
          <w:color w:val="080808"/>
          <w:sz w:val="32"/>
          <w:szCs w:val="32"/>
        </w:rPr>
        <w:t>SoftLayer</w:t>
      </w:r>
      <w:proofErr w:type="spellEnd"/>
      <w:r>
        <w:rPr>
          <w:rFonts w:ascii="Helvetica" w:hAnsi="Helvetica" w:cs="Helvetica"/>
          <w:color w:val="080808"/>
          <w:sz w:val="32"/>
          <w:szCs w:val="32"/>
        </w:rPr>
        <w:t xml:space="preserve"> along with 14 other cloud-based firms for a total of $7 billion. Much of IBM’s R&amp;D expenses not devoted to big data are focused on the firm’s cloud-computing initiative.</w:t>
      </w:r>
    </w:p>
    <w:p w14:paraId="2FF89F6B"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The third key in IBM’s initiative, dubbed “systems of engagement,” centers on technological social interaction products and services. IBM expects firms to double its expenses in this area by 2016. IBM’s purchase of Skype and Facebook’s purchase of WhatsApp are two examples of companies trying to profit off the social media revolution.</w:t>
      </w:r>
    </w:p>
    <w:p w14:paraId="70088C4F"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Recently, IBM announced an alliance with Apple to work in tandem to create business apps for mobile devices for IBM’s corporate customers. Reeling from 8 consecutive year-over-year revenue declines, IBM is betting on Apple’s popularity and simplicity to help please the IBM customer base. Roughly one third of iPad sales in 2013 were to governments or corporations. Many corporate employees use their personal Apple products at work. The new Apple IBM alliance is expected to put increasing pressure on Google and its Android platform to develop corporate partners. It remains to be seen how the difference in culture between IBM and Apple will affect the alliance. Traditionally, IBM has focused on businesses while Apple has focused on upscale personal consumers.</w:t>
      </w:r>
    </w:p>
    <w:p w14:paraId="12FB94A2"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Segment Data</w:t>
      </w:r>
    </w:p>
    <w:p w14:paraId="5881CDE9"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IBM competes in five main business segments:</w:t>
      </w:r>
    </w:p>
    <w:p w14:paraId="06C5534B" w14:textId="77777777" w:rsidR="00F43CE8" w:rsidRDefault="00F43CE8" w:rsidP="00F43CE8">
      <w:pPr>
        <w:widowControl w:val="0"/>
        <w:numPr>
          <w:ilvl w:val="0"/>
          <w:numId w:val="2"/>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i/>
          <w:iCs/>
          <w:color w:val="080808"/>
          <w:sz w:val="32"/>
          <w:szCs w:val="32"/>
        </w:rPr>
        <w:t>Global Technology Services (GTS)</w:t>
      </w:r>
      <w:r>
        <w:rPr>
          <w:rFonts w:ascii="Helvetica" w:hAnsi="Helvetica" w:cs="Helvetica"/>
          <w:color w:val="080808"/>
          <w:sz w:val="32"/>
          <w:szCs w:val="32"/>
        </w:rPr>
        <w:t xml:space="preserve"> consists of delivering outsourcing services to help improve clients’ existing IT infrastructures to aid in risk management, flexibility, and financial value. IBM routinely uses components from its systems technology and software segments to aid the business unit in delivering on its outsourcing services mission. GTS is IBM’s largest division with respect to revenues, with the cloud-computing portion of the division being the fastest-growing and having the largest expected demand moving forward. Currently, IBM is considered the industry leader in cloud computing through heavy R&amp;D and marketing campaigns.</w:t>
      </w:r>
    </w:p>
    <w:p w14:paraId="5B190A15" w14:textId="77777777" w:rsidR="00F43CE8" w:rsidRDefault="00F43CE8" w:rsidP="00F43CE8">
      <w:pPr>
        <w:widowControl w:val="0"/>
        <w:numPr>
          <w:ilvl w:val="0"/>
          <w:numId w:val="2"/>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i/>
          <w:iCs/>
          <w:color w:val="080808"/>
          <w:sz w:val="32"/>
          <w:szCs w:val="32"/>
        </w:rPr>
        <w:t>Global Business Services (GBS)</w:t>
      </w:r>
      <w:r>
        <w:rPr>
          <w:rFonts w:ascii="Helvetica" w:hAnsi="Helvetica" w:cs="Helvetica"/>
          <w:color w:val="080808"/>
          <w:sz w:val="32"/>
          <w:szCs w:val="32"/>
        </w:rPr>
        <w:t xml:space="preserve"> focuses on consulting and application management services. GBS aids businesses with new technologies—such as smarter commerce, mobile, and cloud—and provides support and maintenance for software and other products IBM offers.</w:t>
      </w:r>
    </w:p>
    <w:p w14:paraId="6AA4BD6A" w14:textId="77777777" w:rsidR="00F43CE8" w:rsidRDefault="00F43CE8" w:rsidP="00F43CE8">
      <w:pPr>
        <w:widowControl w:val="0"/>
        <w:numPr>
          <w:ilvl w:val="0"/>
          <w:numId w:val="2"/>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i/>
          <w:iCs/>
          <w:color w:val="080808"/>
          <w:sz w:val="32"/>
          <w:szCs w:val="32"/>
        </w:rPr>
        <w:t>Software</w:t>
      </w:r>
      <w:r>
        <w:rPr>
          <w:rFonts w:ascii="Helvetica" w:hAnsi="Helvetica" w:cs="Helvetica"/>
          <w:color w:val="080808"/>
          <w:sz w:val="32"/>
          <w:szCs w:val="32"/>
        </w:rPr>
        <w:t xml:space="preserve"> is limited primarily to middleware and operating system software. Middleware software is designed to help clients diagnose business problems, improve efficiency, and identify new target markets. IBM provides a broad list of “capabilities” that serve more as broad category descriptions of these middleware products. They include WebSphere Software (support cloud, mobile, social), Information Management Software (data analytics software, among others), Tivoli Software (security software), Lotus Software (social networking software), and Rational Software (supports software development). Operations software is tailored and focused on improving and managing the core processes that computers use.</w:t>
      </w:r>
    </w:p>
    <w:p w14:paraId="4D037A07" w14:textId="77777777" w:rsidR="00F43CE8" w:rsidRDefault="00F43CE8" w:rsidP="00F43CE8">
      <w:pPr>
        <w:widowControl w:val="0"/>
        <w:numPr>
          <w:ilvl w:val="0"/>
          <w:numId w:val="2"/>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i/>
          <w:iCs/>
          <w:color w:val="080808"/>
          <w:sz w:val="32"/>
          <w:szCs w:val="32"/>
        </w:rPr>
        <w:t>Systems Technology</w:t>
      </w:r>
      <w:r>
        <w:rPr>
          <w:rFonts w:ascii="Helvetica" w:hAnsi="Helvetica" w:cs="Helvetica"/>
          <w:color w:val="080808"/>
          <w:sz w:val="32"/>
          <w:szCs w:val="32"/>
        </w:rPr>
        <w:t xml:space="preserve"> provides corporate customers with services that require large computing power. Many of IBM’s clients who use products such as IBM </w:t>
      </w:r>
      <w:proofErr w:type="spellStart"/>
      <w:r>
        <w:rPr>
          <w:rFonts w:ascii="Helvetica" w:hAnsi="Helvetica" w:cs="Helvetica"/>
          <w:color w:val="080808"/>
          <w:sz w:val="32"/>
          <w:szCs w:val="32"/>
        </w:rPr>
        <w:t>PureSystems</w:t>
      </w:r>
      <w:proofErr w:type="spellEnd"/>
      <w:r>
        <w:rPr>
          <w:rFonts w:ascii="Helvetica" w:hAnsi="Helvetica" w:cs="Helvetica"/>
          <w:color w:val="080808"/>
          <w:sz w:val="32"/>
          <w:szCs w:val="32"/>
        </w:rPr>
        <w:t xml:space="preserve">, IBM Smart Analytics, and IBM </w:t>
      </w:r>
      <w:proofErr w:type="spellStart"/>
      <w:r>
        <w:rPr>
          <w:rFonts w:ascii="Helvetica" w:hAnsi="Helvetica" w:cs="Helvetica"/>
          <w:color w:val="080808"/>
          <w:sz w:val="32"/>
          <w:szCs w:val="32"/>
        </w:rPr>
        <w:t>SmartCloud</w:t>
      </w:r>
      <w:proofErr w:type="spellEnd"/>
      <w:r>
        <w:rPr>
          <w:rFonts w:ascii="Helvetica" w:hAnsi="Helvetica" w:cs="Helvetica"/>
          <w:color w:val="080808"/>
          <w:sz w:val="32"/>
          <w:szCs w:val="32"/>
        </w:rPr>
        <w:t xml:space="preserve"> also need to purchase services from the Systems Technology segment to help run these programs. This segment offers storage systems and software, and manufactures several semiconductor products used in IBM systems and storage products. IBM is investing $3 billion between 2014 and 2019 on semiconductor research to keep IBM’s hardware and software technology at the forefront.</w:t>
      </w:r>
    </w:p>
    <w:p w14:paraId="196D3550" w14:textId="77777777" w:rsidR="00F43CE8" w:rsidRDefault="00F43CE8" w:rsidP="00F43CE8">
      <w:pPr>
        <w:widowControl w:val="0"/>
        <w:numPr>
          <w:ilvl w:val="0"/>
          <w:numId w:val="2"/>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i/>
          <w:iCs/>
          <w:color w:val="080808"/>
          <w:sz w:val="32"/>
          <w:szCs w:val="32"/>
        </w:rPr>
        <w:t>Global Finance</w:t>
      </w:r>
      <w:r>
        <w:rPr>
          <w:rFonts w:ascii="Helvetica" w:hAnsi="Helvetica" w:cs="Helvetica"/>
          <w:color w:val="080808"/>
          <w:sz w:val="32"/>
          <w:szCs w:val="32"/>
        </w:rPr>
        <w:t xml:space="preserve"> involves mainly leasing agreements for IBM products; this is not a major contributor to IBM’s overall business portfolio, as evidenced in </w:t>
      </w:r>
      <w:r>
        <w:rPr>
          <w:rFonts w:ascii="Helvetica" w:hAnsi="Helvetica" w:cs="Helvetica"/>
          <w:color w:val="EF2D37"/>
          <w:sz w:val="32"/>
          <w:szCs w:val="32"/>
        </w:rPr>
        <w:t>Exhibit 2</w:t>
      </w:r>
      <w:r>
        <w:rPr>
          <w:rFonts w:ascii="Helvetica" w:hAnsi="Helvetica" w:cs="Helvetica"/>
          <w:color w:val="080808"/>
          <w:sz w:val="32"/>
          <w:szCs w:val="32"/>
        </w:rPr>
        <w:t>.</w:t>
      </w:r>
    </w:p>
    <w:p w14:paraId="0DA2FE94" w14:textId="77777777" w:rsidR="00F43CE8" w:rsidRDefault="00F43CE8" w:rsidP="00F43CE8">
      <w:pPr>
        <w:widowControl w:val="0"/>
        <w:autoSpaceDE w:val="0"/>
        <w:autoSpaceDN w:val="0"/>
        <w:adjustRightInd w:val="0"/>
        <w:rPr>
          <w:rFonts w:ascii="Helvetica" w:hAnsi="Helvetica" w:cs="Helvetica"/>
          <w:b/>
          <w:bCs/>
          <w:color w:val="080808"/>
          <w:sz w:val="32"/>
          <w:szCs w:val="32"/>
        </w:rPr>
      </w:pPr>
      <w:r>
        <w:rPr>
          <w:rFonts w:ascii="Helvetica" w:hAnsi="Helvetica" w:cs="Helvetica"/>
          <w:b/>
          <w:bCs/>
          <w:color w:val="080808"/>
          <w:sz w:val="36"/>
          <w:szCs w:val="36"/>
        </w:rPr>
        <w:t>Exhibit</w:t>
      </w:r>
      <w:r>
        <w:rPr>
          <w:rFonts w:ascii="Helvetica" w:hAnsi="Helvetica" w:cs="Helvetica"/>
          <w:b/>
          <w:bCs/>
          <w:color w:val="080808"/>
          <w:sz w:val="32"/>
          <w:szCs w:val="32"/>
        </w:rPr>
        <w:t xml:space="preserve"> </w:t>
      </w:r>
      <w:r>
        <w:rPr>
          <w:rFonts w:ascii="Helvetica" w:hAnsi="Helvetica" w:cs="Helvetica"/>
          <w:b/>
          <w:bCs/>
          <w:color w:val="080808"/>
          <w:sz w:val="36"/>
          <w:szCs w:val="36"/>
        </w:rPr>
        <w:t>2</w:t>
      </w:r>
      <w:r>
        <w:rPr>
          <w:rFonts w:ascii="Helvetica" w:hAnsi="Helvetica" w:cs="Helvetica"/>
          <w:color w:val="444444"/>
          <w:sz w:val="28"/>
          <w:szCs w:val="28"/>
        </w:rPr>
        <w:t> </w:t>
      </w:r>
      <w:r>
        <w:rPr>
          <w:rFonts w:ascii="Helvetica" w:hAnsi="Helvetica" w:cs="Helvetica"/>
          <w:color w:val="444444"/>
          <w:sz w:val="28"/>
          <w:szCs w:val="28"/>
        </w:rPr>
        <w:t xml:space="preserve">IBM’s Revenues by Segment (in </w:t>
      </w:r>
      <w:proofErr w:type="spellStart"/>
      <w:r>
        <w:rPr>
          <w:rFonts w:ascii="Helvetica" w:hAnsi="Helvetica" w:cs="Helvetica"/>
          <w:color w:val="444444"/>
          <w:sz w:val="28"/>
          <w:szCs w:val="28"/>
        </w:rPr>
        <w:t>billion</w:t>
      </w:r>
      <w:proofErr w:type="spellEnd"/>
      <w:r>
        <w:rPr>
          <w:rFonts w:ascii="Helvetica" w:hAnsi="Helvetica" w:cs="Helvetica"/>
          <w:color w:val="444444"/>
          <w:sz w:val="28"/>
          <w:szCs w:val="28"/>
        </w:rPr>
        <w:t xml:space="preserve"> of USD)</w:t>
      </w:r>
    </w:p>
    <w:tbl>
      <w:tblPr>
        <w:tblW w:w="0" w:type="auto"/>
        <w:tblInd w:w="-108" w:type="dxa"/>
        <w:tblBorders>
          <w:top w:val="single" w:sz="8" w:space="0" w:color="595959"/>
          <w:left w:val="nil"/>
          <w:right w:val="nil"/>
        </w:tblBorders>
        <w:tblLayout w:type="fixed"/>
        <w:tblLook w:val="0000" w:firstRow="0" w:lastRow="0" w:firstColumn="0" w:lastColumn="0" w:noHBand="0" w:noVBand="0"/>
      </w:tblPr>
      <w:tblGrid>
        <w:gridCol w:w="2960"/>
        <w:gridCol w:w="1"/>
        <w:gridCol w:w="1979"/>
        <w:gridCol w:w="2140"/>
        <w:gridCol w:w="1"/>
        <w:gridCol w:w="1979"/>
        <w:gridCol w:w="2020"/>
        <w:gridCol w:w="1"/>
        <w:gridCol w:w="1979"/>
        <w:gridCol w:w="1740"/>
      </w:tblGrid>
      <w:tr w:rsidR="00F43CE8" w14:paraId="3B6F4D0A" w14:textId="77777777">
        <w:tblPrEx>
          <w:tblCellMar>
            <w:top w:w="0" w:type="dxa"/>
            <w:bottom w:w="0" w:type="dxa"/>
          </w:tblCellMar>
        </w:tblPrEx>
        <w:tc>
          <w:tcPr>
            <w:tcW w:w="2960" w:type="dxa"/>
            <w:vMerge w:val="restart"/>
            <w:tcBorders>
              <w:top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410D364D"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Business Segment</w:t>
            </w:r>
          </w:p>
        </w:tc>
        <w:tc>
          <w:tcPr>
            <w:tcW w:w="4120" w:type="dxa"/>
            <w:hMerge w:val="restart"/>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32E90D34"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2014</w:t>
            </w:r>
          </w:p>
        </w:tc>
        <w:tc>
          <w:tcPr>
            <w:tcW w:w="4120" w:type="dxa"/>
            <w:gridSpan w:val="2"/>
            <w:hMerge/>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31AC4694" w14:textId="77777777" w:rsidR="00F43CE8" w:rsidRDefault="00F43CE8">
            <w:pPr>
              <w:widowControl w:val="0"/>
              <w:autoSpaceDE w:val="0"/>
              <w:autoSpaceDN w:val="0"/>
              <w:adjustRightInd w:val="0"/>
              <w:rPr>
                <w:rFonts w:ascii="Helvetica" w:hAnsi="Helvetica" w:cs="Helvetica"/>
                <w:b/>
                <w:bCs/>
                <w:color w:val="FFFFFF"/>
                <w:sz w:val="30"/>
                <w:szCs w:val="30"/>
              </w:rPr>
            </w:pPr>
          </w:p>
        </w:tc>
        <w:tc>
          <w:tcPr>
            <w:tcW w:w="4000" w:type="dxa"/>
            <w:hMerge w:val="restart"/>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391C6891"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2013</w:t>
            </w:r>
          </w:p>
        </w:tc>
        <w:tc>
          <w:tcPr>
            <w:tcW w:w="4000" w:type="dxa"/>
            <w:gridSpan w:val="2"/>
            <w:hMerge/>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11E4637C" w14:textId="77777777" w:rsidR="00F43CE8" w:rsidRDefault="00F43CE8">
            <w:pPr>
              <w:widowControl w:val="0"/>
              <w:autoSpaceDE w:val="0"/>
              <w:autoSpaceDN w:val="0"/>
              <w:adjustRightInd w:val="0"/>
              <w:rPr>
                <w:rFonts w:ascii="Helvetica" w:hAnsi="Helvetica" w:cs="Helvetica"/>
                <w:b/>
                <w:bCs/>
                <w:color w:val="FFFFFF"/>
                <w:sz w:val="30"/>
                <w:szCs w:val="30"/>
              </w:rPr>
            </w:pPr>
          </w:p>
        </w:tc>
        <w:tc>
          <w:tcPr>
            <w:tcW w:w="3720" w:type="dxa"/>
            <w:hMerge w:val="restart"/>
            <w:tcBorders>
              <w:top w:val="single" w:sz="8" w:space="0" w:color="595959"/>
              <w:left w:val="single" w:sz="8" w:space="0" w:color="595959"/>
              <w:bottom w:val="single" w:sz="8" w:space="0" w:color="595959"/>
            </w:tcBorders>
            <w:shd w:val="clear" w:color="auto" w:fill="auto"/>
            <w:tcMar>
              <w:top w:w="300" w:type="nil"/>
              <w:left w:w="300" w:type="nil"/>
              <w:bottom w:w="300" w:type="nil"/>
              <w:right w:w="300" w:type="nil"/>
            </w:tcMar>
          </w:tcPr>
          <w:p w14:paraId="01C9599A"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2012</w:t>
            </w:r>
          </w:p>
        </w:tc>
        <w:tc>
          <w:tcPr>
            <w:tcW w:w="3720" w:type="dxa"/>
            <w:gridSpan w:val="2"/>
            <w:hMerge/>
            <w:tcBorders>
              <w:top w:val="single" w:sz="8" w:space="0" w:color="595959"/>
              <w:left w:val="single" w:sz="8" w:space="0" w:color="595959"/>
              <w:bottom w:val="single" w:sz="8" w:space="0" w:color="595959"/>
            </w:tcBorders>
            <w:shd w:val="clear" w:color="auto" w:fill="auto"/>
            <w:tcMar>
              <w:top w:w="300" w:type="nil"/>
              <w:left w:w="300" w:type="nil"/>
              <w:bottom w:w="300" w:type="nil"/>
              <w:right w:w="300" w:type="nil"/>
            </w:tcMar>
          </w:tcPr>
          <w:p w14:paraId="247F1C59" w14:textId="77777777" w:rsidR="00F43CE8" w:rsidRDefault="00F43CE8">
            <w:pPr>
              <w:widowControl w:val="0"/>
              <w:autoSpaceDE w:val="0"/>
              <w:autoSpaceDN w:val="0"/>
              <w:adjustRightInd w:val="0"/>
              <w:rPr>
                <w:rFonts w:ascii="Helvetica" w:hAnsi="Helvetica" w:cs="Helvetica"/>
                <w:b/>
                <w:bCs/>
                <w:color w:val="FFFFFF"/>
                <w:sz w:val="30"/>
                <w:szCs w:val="30"/>
              </w:rPr>
            </w:pPr>
          </w:p>
        </w:tc>
      </w:tr>
      <w:tr w:rsidR="00F43CE8" w14:paraId="6EA3E853" w14:textId="77777777">
        <w:tblPrEx>
          <w:tblBorders>
            <w:top w:val="none" w:sz="0" w:space="0" w:color="auto"/>
          </w:tblBorders>
          <w:tblCellMar>
            <w:top w:w="0" w:type="dxa"/>
            <w:bottom w:w="0" w:type="dxa"/>
          </w:tblCellMar>
        </w:tblPrEx>
        <w:tc>
          <w:tcPr>
            <w:tcW w:w="2960" w:type="dxa"/>
            <w:vMerge/>
            <w:tcBorders>
              <w:top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37EB46C9" w14:textId="77777777" w:rsidR="00F43CE8" w:rsidRDefault="00F43CE8">
            <w:pPr>
              <w:widowControl w:val="0"/>
              <w:autoSpaceDE w:val="0"/>
              <w:autoSpaceDN w:val="0"/>
              <w:adjustRightInd w:val="0"/>
              <w:rPr>
                <w:rFonts w:ascii="Helvetica" w:hAnsi="Helvetica" w:cs="Helvetica"/>
                <w:b/>
                <w:bCs/>
                <w:color w:val="FFFFFF"/>
                <w:sz w:val="30"/>
                <w:szCs w:val="30"/>
              </w:rPr>
            </w:pPr>
          </w:p>
        </w:tc>
        <w:tc>
          <w:tcPr>
            <w:tcW w:w="1980" w:type="dxa"/>
            <w:gridSpan w:val="2"/>
            <w:tcBorders>
              <w:top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580751CD"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Revenue</w:t>
            </w:r>
          </w:p>
        </w:tc>
        <w:tc>
          <w:tcPr>
            <w:tcW w:w="214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2BDA1BF0"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Gross Margin</w:t>
            </w:r>
          </w:p>
        </w:tc>
        <w:tc>
          <w:tcPr>
            <w:tcW w:w="1980" w:type="dxa"/>
            <w:gridSpan w:val="2"/>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696E8054"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Revenue</w:t>
            </w:r>
          </w:p>
        </w:tc>
        <w:tc>
          <w:tcPr>
            <w:tcW w:w="202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4F3E14EB"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Gross Margin</w:t>
            </w:r>
          </w:p>
        </w:tc>
        <w:tc>
          <w:tcPr>
            <w:tcW w:w="1980" w:type="dxa"/>
            <w:gridSpan w:val="2"/>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1BB5659F"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Revenue</w:t>
            </w:r>
          </w:p>
        </w:tc>
        <w:tc>
          <w:tcPr>
            <w:tcW w:w="1740" w:type="dxa"/>
            <w:tcBorders>
              <w:top w:val="single" w:sz="8" w:space="0" w:color="595959"/>
              <w:left w:val="single" w:sz="8" w:space="0" w:color="595959"/>
              <w:bottom w:val="single" w:sz="8" w:space="0" w:color="595959"/>
            </w:tcBorders>
            <w:shd w:val="clear" w:color="auto" w:fill="auto"/>
            <w:tcMar>
              <w:top w:w="300" w:type="nil"/>
              <w:left w:w="300" w:type="nil"/>
              <w:bottom w:w="300" w:type="nil"/>
              <w:right w:w="300" w:type="nil"/>
            </w:tcMar>
          </w:tcPr>
          <w:p w14:paraId="19084DF8"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Gross Margin</w:t>
            </w:r>
          </w:p>
        </w:tc>
      </w:tr>
      <w:tr w:rsidR="00F43CE8" w14:paraId="0FF7647D" w14:textId="77777777">
        <w:tblPrEx>
          <w:tblBorders>
            <w:top w:val="none" w:sz="0" w:space="0" w:color="auto"/>
          </w:tblBorders>
          <w:tblCellMar>
            <w:top w:w="0" w:type="dxa"/>
            <w:bottom w:w="0" w:type="dxa"/>
          </w:tblCellMar>
        </w:tblPrEx>
        <w:tc>
          <w:tcPr>
            <w:tcW w:w="29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114B21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GTS</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1FFD7A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$37.1</w:t>
            </w:r>
          </w:p>
        </w:tc>
        <w:tc>
          <w:tcPr>
            <w:tcW w:w="21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F019C6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38.3%</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BD9063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$38.5</w:t>
            </w:r>
          </w:p>
        </w:tc>
        <w:tc>
          <w:tcPr>
            <w:tcW w:w="202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FD1133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38.1%</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2DA587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$40.2</w:t>
            </w:r>
          </w:p>
        </w:tc>
        <w:tc>
          <w:tcPr>
            <w:tcW w:w="174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6D812F1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36.6%</w:t>
            </w:r>
          </w:p>
        </w:tc>
      </w:tr>
      <w:tr w:rsidR="00F43CE8" w14:paraId="0CCEF843" w14:textId="77777777">
        <w:tblPrEx>
          <w:tblBorders>
            <w:top w:val="none" w:sz="0" w:space="0" w:color="auto"/>
          </w:tblBorders>
          <w:tblCellMar>
            <w:top w:w="0" w:type="dxa"/>
            <w:bottom w:w="0" w:type="dxa"/>
          </w:tblCellMar>
        </w:tblPrEx>
        <w:tc>
          <w:tcPr>
            <w:tcW w:w="29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0D6C3A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GBS</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A1C0ED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17.8</w:t>
            </w:r>
          </w:p>
        </w:tc>
        <w:tc>
          <w:tcPr>
            <w:tcW w:w="21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1724B0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30.8</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8B4841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18.4</w:t>
            </w:r>
          </w:p>
        </w:tc>
        <w:tc>
          <w:tcPr>
            <w:tcW w:w="202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03B28B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30.9</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895B23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18.6</w:t>
            </w:r>
          </w:p>
        </w:tc>
        <w:tc>
          <w:tcPr>
            <w:tcW w:w="174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51E301F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30.0</w:t>
            </w:r>
          </w:p>
        </w:tc>
      </w:tr>
      <w:tr w:rsidR="00F43CE8" w14:paraId="27655F2B" w14:textId="77777777">
        <w:tblPrEx>
          <w:tblBorders>
            <w:top w:val="none" w:sz="0" w:space="0" w:color="auto"/>
          </w:tblBorders>
          <w:tblCellMar>
            <w:top w:w="0" w:type="dxa"/>
            <w:bottom w:w="0" w:type="dxa"/>
          </w:tblCellMar>
        </w:tblPrEx>
        <w:tc>
          <w:tcPr>
            <w:tcW w:w="29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B16D72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Software</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649424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25.4</w:t>
            </w:r>
          </w:p>
        </w:tc>
        <w:tc>
          <w:tcPr>
            <w:tcW w:w="21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3802D0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88.6</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74B545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25.9</w:t>
            </w:r>
          </w:p>
        </w:tc>
        <w:tc>
          <w:tcPr>
            <w:tcW w:w="202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FEF19F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88.8</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2C417D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25.4</w:t>
            </w:r>
          </w:p>
        </w:tc>
        <w:tc>
          <w:tcPr>
            <w:tcW w:w="174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07D23C7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88.7</w:t>
            </w:r>
          </w:p>
        </w:tc>
      </w:tr>
      <w:tr w:rsidR="00F43CE8" w14:paraId="14430225" w14:textId="77777777">
        <w:tblPrEx>
          <w:tblBorders>
            <w:top w:val="none" w:sz="0" w:space="0" w:color="auto"/>
          </w:tblBorders>
          <w:tblCellMar>
            <w:top w:w="0" w:type="dxa"/>
            <w:bottom w:w="0" w:type="dxa"/>
          </w:tblCellMar>
        </w:tblPrEx>
        <w:tc>
          <w:tcPr>
            <w:tcW w:w="29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700BD3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Systems Technology</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268344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10.0</w:t>
            </w:r>
          </w:p>
        </w:tc>
        <w:tc>
          <w:tcPr>
            <w:tcW w:w="21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2AAA2A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39.5</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72F655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14.4</w:t>
            </w:r>
          </w:p>
        </w:tc>
        <w:tc>
          <w:tcPr>
            <w:tcW w:w="202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04FB80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35.6</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D540DA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17.7</w:t>
            </w:r>
          </w:p>
        </w:tc>
        <w:tc>
          <w:tcPr>
            <w:tcW w:w="174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2C9CBE7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39.1</w:t>
            </w:r>
          </w:p>
        </w:tc>
      </w:tr>
      <w:tr w:rsidR="00F43CE8" w14:paraId="1DABF9C7" w14:textId="77777777">
        <w:tblPrEx>
          <w:tblBorders>
            <w:top w:val="none" w:sz="0" w:space="0" w:color="auto"/>
          </w:tblBorders>
          <w:tblCellMar>
            <w:top w:w="0" w:type="dxa"/>
            <w:bottom w:w="0" w:type="dxa"/>
          </w:tblCellMar>
        </w:tblPrEx>
        <w:tc>
          <w:tcPr>
            <w:tcW w:w="29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9B5FA0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Global Financing</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5463F1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2.0</w:t>
            </w:r>
          </w:p>
        </w:tc>
        <w:tc>
          <w:tcPr>
            <w:tcW w:w="21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2EFB0B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49.4</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05C633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2.0</w:t>
            </w:r>
          </w:p>
        </w:tc>
        <w:tc>
          <w:tcPr>
            <w:tcW w:w="202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357B22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45.6</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65AC61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2.0</w:t>
            </w:r>
          </w:p>
        </w:tc>
        <w:tc>
          <w:tcPr>
            <w:tcW w:w="174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136ED34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46.5</w:t>
            </w:r>
          </w:p>
        </w:tc>
      </w:tr>
      <w:tr w:rsidR="00F43CE8" w14:paraId="40F709F3" w14:textId="77777777">
        <w:tblPrEx>
          <w:tblBorders>
            <w:top w:val="none" w:sz="0" w:space="0" w:color="auto"/>
          </w:tblBorders>
          <w:tblCellMar>
            <w:top w:w="0" w:type="dxa"/>
            <w:bottom w:w="0" w:type="dxa"/>
          </w:tblCellMar>
        </w:tblPrEx>
        <w:tc>
          <w:tcPr>
            <w:tcW w:w="29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999F67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Other</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292509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(0.5)</w:t>
            </w:r>
          </w:p>
        </w:tc>
        <w:tc>
          <w:tcPr>
            <w:tcW w:w="21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22B4EC8" w14:textId="77777777" w:rsidR="00F43CE8" w:rsidRDefault="00F43CE8">
            <w:pPr>
              <w:widowControl w:val="0"/>
              <w:autoSpaceDE w:val="0"/>
              <w:autoSpaceDN w:val="0"/>
              <w:adjustRightInd w:val="0"/>
              <w:rPr>
                <w:rFonts w:ascii="Helvetica" w:hAnsi="Helvetica" w:cs="Helvetica"/>
                <w:color w:val="080808"/>
                <w:sz w:val="30"/>
                <w:szCs w:val="30"/>
              </w:rPr>
            </w:pP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27A2DE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0.5</w:t>
            </w:r>
          </w:p>
        </w:tc>
        <w:tc>
          <w:tcPr>
            <w:tcW w:w="202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43F5880" w14:textId="77777777" w:rsidR="00F43CE8" w:rsidRDefault="00F43CE8">
            <w:pPr>
              <w:widowControl w:val="0"/>
              <w:autoSpaceDE w:val="0"/>
              <w:autoSpaceDN w:val="0"/>
              <w:adjustRightInd w:val="0"/>
              <w:rPr>
                <w:rFonts w:ascii="Helvetica" w:hAnsi="Helvetica" w:cs="Helvetica"/>
                <w:color w:val="080808"/>
                <w:sz w:val="30"/>
                <w:szCs w:val="30"/>
              </w:rPr>
            </w:pP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D32E3B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0.6</w:t>
            </w:r>
          </w:p>
        </w:tc>
        <w:tc>
          <w:tcPr>
            <w:tcW w:w="174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7456CCAD" w14:textId="77777777" w:rsidR="00F43CE8" w:rsidRDefault="00F43CE8">
            <w:pPr>
              <w:widowControl w:val="0"/>
              <w:autoSpaceDE w:val="0"/>
              <w:autoSpaceDN w:val="0"/>
              <w:adjustRightInd w:val="0"/>
              <w:rPr>
                <w:rFonts w:ascii="Helvetica" w:hAnsi="Helvetica" w:cs="Helvetica"/>
                <w:color w:val="080808"/>
                <w:sz w:val="30"/>
                <w:szCs w:val="30"/>
              </w:rPr>
            </w:pPr>
          </w:p>
        </w:tc>
      </w:tr>
      <w:tr w:rsidR="00F43CE8" w14:paraId="60F9E018" w14:textId="77777777">
        <w:tblPrEx>
          <w:tblBorders>
            <w:top w:val="none" w:sz="0" w:space="0" w:color="auto"/>
            <w:bottom w:val="single" w:sz="8" w:space="0" w:color="595959"/>
          </w:tblBorders>
          <w:tblCellMar>
            <w:top w:w="0" w:type="dxa"/>
            <w:bottom w:w="0" w:type="dxa"/>
          </w:tblCellMar>
        </w:tblPrEx>
        <w:tc>
          <w:tcPr>
            <w:tcW w:w="29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04587E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Totals</w:t>
            </w: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67C17A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92.8</w:t>
            </w:r>
          </w:p>
        </w:tc>
        <w:tc>
          <w:tcPr>
            <w:tcW w:w="21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1A3BD2E" w14:textId="77777777" w:rsidR="00F43CE8" w:rsidRDefault="00F43CE8">
            <w:pPr>
              <w:widowControl w:val="0"/>
              <w:autoSpaceDE w:val="0"/>
              <w:autoSpaceDN w:val="0"/>
              <w:adjustRightInd w:val="0"/>
              <w:rPr>
                <w:rFonts w:ascii="Helvetica" w:hAnsi="Helvetica" w:cs="Helvetica"/>
                <w:color w:val="080808"/>
                <w:sz w:val="30"/>
                <w:szCs w:val="30"/>
              </w:rPr>
            </w:pP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19D55F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99.6</w:t>
            </w:r>
          </w:p>
        </w:tc>
        <w:tc>
          <w:tcPr>
            <w:tcW w:w="202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BF6DC49" w14:textId="77777777" w:rsidR="00F43CE8" w:rsidRDefault="00F43CE8">
            <w:pPr>
              <w:widowControl w:val="0"/>
              <w:autoSpaceDE w:val="0"/>
              <w:autoSpaceDN w:val="0"/>
              <w:adjustRightInd w:val="0"/>
              <w:rPr>
                <w:rFonts w:ascii="Helvetica" w:hAnsi="Helvetica" w:cs="Helvetica"/>
                <w:color w:val="080808"/>
                <w:sz w:val="30"/>
                <w:szCs w:val="30"/>
              </w:rPr>
            </w:pPr>
          </w:p>
        </w:tc>
        <w:tc>
          <w:tcPr>
            <w:tcW w:w="1980" w:type="dxa"/>
            <w:gridSpan w:val="2"/>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86DBF4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104.5</w:t>
            </w:r>
          </w:p>
        </w:tc>
        <w:tc>
          <w:tcPr>
            <w:tcW w:w="174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054FC9B5" w14:textId="77777777" w:rsidR="00F43CE8" w:rsidRDefault="00F43CE8">
            <w:pPr>
              <w:widowControl w:val="0"/>
              <w:autoSpaceDE w:val="0"/>
              <w:autoSpaceDN w:val="0"/>
              <w:adjustRightInd w:val="0"/>
              <w:rPr>
                <w:rFonts w:ascii="Helvetica" w:hAnsi="Helvetica" w:cs="Helvetica"/>
                <w:color w:val="080808"/>
                <w:sz w:val="30"/>
                <w:szCs w:val="30"/>
              </w:rPr>
            </w:pPr>
          </w:p>
        </w:tc>
      </w:tr>
    </w:tbl>
    <w:p w14:paraId="6D16F386" w14:textId="77777777" w:rsidR="00F43CE8" w:rsidRDefault="00F43CE8" w:rsidP="00F43CE8">
      <w:pPr>
        <w:widowControl w:val="0"/>
        <w:autoSpaceDE w:val="0"/>
        <w:autoSpaceDN w:val="0"/>
        <w:adjustRightInd w:val="0"/>
        <w:rPr>
          <w:rFonts w:ascii="Helvetica" w:hAnsi="Helvetica" w:cs="Helvetica"/>
          <w:color w:val="444444"/>
          <w:sz w:val="22"/>
          <w:szCs w:val="22"/>
        </w:rPr>
      </w:pPr>
      <w:r>
        <w:rPr>
          <w:rFonts w:ascii="Helvetica" w:hAnsi="Helvetica" w:cs="Helvetica"/>
          <w:b/>
          <w:bCs/>
          <w:color w:val="444444"/>
          <w:sz w:val="22"/>
          <w:szCs w:val="22"/>
        </w:rPr>
        <w:t>Source:</w:t>
      </w:r>
      <w:r>
        <w:rPr>
          <w:rFonts w:ascii="Helvetica" w:hAnsi="Helvetica" w:cs="Helvetica"/>
          <w:color w:val="444444"/>
          <w:sz w:val="22"/>
          <w:szCs w:val="22"/>
        </w:rPr>
        <w:t xml:space="preserve"> Based on IBM’s company documents.</w:t>
      </w:r>
    </w:p>
    <w:p w14:paraId="248950B8"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Note in </w:t>
      </w:r>
      <w:r>
        <w:rPr>
          <w:rFonts w:ascii="Helvetica" w:hAnsi="Helvetica" w:cs="Helvetica"/>
          <w:color w:val="EF2D37"/>
          <w:sz w:val="32"/>
          <w:szCs w:val="32"/>
        </w:rPr>
        <w:t>Exhibit 2</w:t>
      </w:r>
      <w:r>
        <w:rPr>
          <w:rFonts w:ascii="Helvetica" w:hAnsi="Helvetica" w:cs="Helvetica"/>
          <w:color w:val="080808"/>
          <w:sz w:val="32"/>
          <w:szCs w:val="32"/>
        </w:rPr>
        <w:t xml:space="preserve"> that IBM has declining revenues in all its segments. The 2014 numbers for GTS and Systems Technology reflect the divesture of Customer Care BPO and System x businesses.</w:t>
      </w:r>
    </w:p>
    <w:p w14:paraId="42EA7231"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Finance</w:t>
      </w:r>
    </w:p>
    <w:p w14:paraId="372BA95A"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IBM’s recent income statement and balance sheet are provided in </w:t>
      </w:r>
      <w:r>
        <w:rPr>
          <w:rFonts w:ascii="Helvetica" w:hAnsi="Helvetica" w:cs="Helvetica"/>
          <w:color w:val="EF2D37"/>
          <w:sz w:val="32"/>
          <w:szCs w:val="32"/>
        </w:rPr>
        <w:t>Exhibits 3</w:t>
      </w:r>
      <w:r>
        <w:rPr>
          <w:rFonts w:ascii="Helvetica" w:hAnsi="Helvetica" w:cs="Helvetica"/>
          <w:color w:val="080808"/>
          <w:sz w:val="32"/>
          <w:szCs w:val="32"/>
        </w:rPr>
        <w:t xml:space="preserve"> and </w:t>
      </w:r>
      <w:r>
        <w:rPr>
          <w:rFonts w:ascii="Helvetica" w:hAnsi="Helvetica" w:cs="Helvetica"/>
          <w:color w:val="EF2D37"/>
          <w:sz w:val="32"/>
          <w:szCs w:val="32"/>
        </w:rPr>
        <w:t>4</w:t>
      </w:r>
      <w:r>
        <w:rPr>
          <w:rFonts w:ascii="Helvetica" w:hAnsi="Helvetica" w:cs="Helvetica"/>
          <w:color w:val="080808"/>
          <w:sz w:val="32"/>
          <w:szCs w:val="32"/>
        </w:rPr>
        <w:t>, respectively. Note that IBM has financial problems.</w:t>
      </w:r>
    </w:p>
    <w:p w14:paraId="210CBC96" w14:textId="77777777" w:rsidR="00F43CE8" w:rsidRDefault="00F43CE8" w:rsidP="00F43CE8">
      <w:pPr>
        <w:widowControl w:val="0"/>
        <w:autoSpaceDE w:val="0"/>
        <w:autoSpaceDN w:val="0"/>
        <w:adjustRightInd w:val="0"/>
        <w:rPr>
          <w:rFonts w:ascii="Helvetica" w:hAnsi="Helvetica" w:cs="Helvetica"/>
          <w:b/>
          <w:bCs/>
          <w:color w:val="080808"/>
          <w:sz w:val="32"/>
          <w:szCs w:val="32"/>
        </w:rPr>
      </w:pPr>
      <w:r>
        <w:rPr>
          <w:rFonts w:ascii="Helvetica" w:hAnsi="Helvetica" w:cs="Helvetica"/>
          <w:b/>
          <w:bCs/>
          <w:color w:val="080808"/>
          <w:sz w:val="36"/>
          <w:szCs w:val="36"/>
        </w:rPr>
        <w:t>Exhibit</w:t>
      </w:r>
      <w:r>
        <w:rPr>
          <w:rFonts w:ascii="Helvetica" w:hAnsi="Helvetica" w:cs="Helvetica"/>
          <w:b/>
          <w:bCs/>
          <w:color w:val="080808"/>
          <w:sz w:val="32"/>
          <w:szCs w:val="32"/>
        </w:rPr>
        <w:t xml:space="preserve"> </w:t>
      </w:r>
      <w:r>
        <w:rPr>
          <w:rFonts w:ascii="Helvetica" w:hAnsi="Helvetica" w:cs="Helvetica"/>
          <w:b/>
          <w:bCs/>
          <w:color w:val="080808"/>
          <w:sz w:val="36"/>
          <w:szCs w:val="36"/>
        </w:rPr>
        <w:t>3</w:t>
      </w:r>
      <w:r>
        <w:rPr>
          <w:rFonts w:ascii="Helvetica" w:hAnsi="Helvetica" w:cs="Helvetica"/>
          <w:color w:val="444444"/>
          <w:sz w:val="28"/>
          <w:szCs w:val="28"/>
        </w:rPr>
        <w:t> </w:t>
      </w:r>
      <w:r>
        <w:rPr>
          <w:rFonts w:ascii="Helvetica" w:hAnsi="Helvetica" w:cs="Helvetica"/>
          <w:color w:val="444444"/>
          <w:sz w:val="28"/>
          <w:szCs w:val="28"/>
        </w:rPr>
        <w:t>Income Statement (in millions of USD)</w:t>
      </w:r>
    </w:p>
    <w:tbl>
      <w:tblPr>
        <w:tblW w:w="0" w:type="auto"/>
        <w:tblInd w:w="-108" w:type="dxa"/>
        <w:tblBorders>
          <w:top w:val="single" w:sz="8" w:space="0" w:color="595959"/>
          <w:left w:val="nil"/>
          <w:right w:val="nil"/>
        </w:tblBorders>
        <w:tblLayout w:type="fixed"/>
        <w:tblLook w:val="0000" w:firstRow="0" w:lastRow="0" w:firstColumn="0" w:lastColumn="0" w:noHBand="0" w:noVBand="0"/>
      </w:tblPr>
      <w:tblGrid>
        <w:gridCol w:w="6680"/>
        <w:gridCol w:w="4060"/>
        <w:gridCol w:w="4060"/>
      </w:tblGrid>
      <w:tr w:rsidR="00F43CE8" w14:paraId="25995B2D" w14:textId="77777777">
        <w:tblPrEx>
          <w:tblCellMar>
            <w:top w:w="0" w:type="dxa"/>
            <w:bottom w:w="0" w:type="dxa"/>
          </w:tblCellMar>
        </w:tblPrEx>
        <w:tc>
          <w:tcPr>
            <w:tcW w:w="6680" w:type="dxa"/>
            <w:tcBorders>
              <w:top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00AB86A3"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Report Date</w:t>
            </w:r>
          </w:p>
        </w:tc>
        <w:tc>
          <w:tcPr>
            <w:tcW w:w="406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4F58BAE9"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December 31, 2014</w:t>
            </w:r>
          </w:p>
        </w:tc>
        <w:tc>
          <w:tcPr>
            <w:tcW w:w="4060" w:type="dxa"/>
            <w:tcBorders>
              <w:top w:val="single" w:sz="8" w:space="0" w:color="595959"/>
              <w:left w:val="single" w:sz="8" w:space="0" w:color="595959"/>
              <w:bottom w:val="single" w:sz="8" w:space="0" w:color="595959"/>
            </w:tcBorders>
            <w:shd w:val="clear" w:color="auto" w:fill="auto"/>
            <w:tcMar>
              <w:top w:w="300" w:type="nil"/>
              <w:left w:w="300" w:type="nil"/>
              <w:bottom w:w="300" w:type="nil"/>
              <w:right w:w="300" w:type="nil"/>
            </w:tcMar>
          </w:tcPr>
          <w:p w14:paraId="1A07501E"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December 31, 2013</w:t>
            </w:r>
          </w:p>
        </w:tc>
      </w:tr>
      <w:tr w:rsidR="00F43CE8" w14:paraId="0A1E964A" w14:textId="77777777">
        <w:tblPrEx>
          <w:tblBorders>
            <w:top w:val="none" w:sz="0" w:space="0" w:color="auto"/>
          </w:tblBorders>
          <w:tblCellMar>
            <w:top w:w="0" w:type="dxa"/>
            <w:bottom w:w="0" w:type="dxa"/>
          </w:tblCellMar>
        </w:tblPrEx>
        <w:tc>
          <w:tcPr>
            <w:tcW w:w="66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74BA3B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Revenues</w:t>
            </w:r>
          </w:p>
        </w:tc>
        <w:tc>
          <w:tcPr>
            <w:tcW w:w="40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BD5740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$92,793</w:t>
            </w:r>
          </w:p>
        </w:tc>
        <w:tc>
          <w:tcPr>
            <w:tcW w:w="40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46D23A9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$98,367</w:t>
            </w:r>
          </w:p>
        </w:tc>
      </w:tr>
      <w:tr w:rsidR="00F43CE8" w14:paraId="1D8C7941" w14:textId="77777777">
        <w:tblPrEx>
          <w:tblBorders>
            <w:top w:val="none" w:sz="0" w:space="0" w:color="auto"/>
          </w:tblBorders>
          <w:tblCellMar>
            <w:top w:w="0" w:type="dxa"/>
            <w:bottom w:w="0" w:type="dxa"/>
          </w:tblCellMar>
        </w:tblPrEx>
        <w:tc>
          <w:tcPr>
            <w:tcW w:w="66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27849C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Cost of revenue</w:t>
            </w:r>
          </w:p>
        </w:tc>
        <w:tc>
          <w:tcPr>
            <w:tcW w:w="40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BB360A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46,386</w:t>
            </w:r>
          </w:p>
        </w:tc>
        <w:tc>
          <w:tcPr>
            <w:tcW w:w="40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5B8F250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49,683</w:t>
            </w:r>
          </w:p>
        </w:tc>
      </w:tr>
      <w:tr w:rsidR="00F43CE8" w14:paraId="384C567E" w14:textId="77777777">
        <w:tblPrEx>
          <w:tblBorders>
            <w:top w:val="none" w:sz="0" w:space="0" w:color="auto"/>
          </w:tblBorders>
          <w:tblCellMar>
            <w:top w:w="0" w:type="dxa"/>
            <w:bottom w:w="0" w:type="dxa"/>
          </w:tblCellMar>
        </w:tblPrEx>
        <w:tc>
          <w:tcPr>
            <w:tcW w:w="66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11461D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Gross profit</w:t>
            </w:r>
          </w:p>
        </w:tc>
        <w:tc>
          <w:tcPr>
            <w:tcW w:w="40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5F9796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46,407</w:t>
            </w:r>
          </w:p>
        </w:tc>
        <w:tc>
          <w:tcPr>
            <w:tcW w:w="40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7EB31C2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48,684</w:t>
            </w:r>
          </w:p>
        </w:tc>
      </w:tr>
      <w:tr w:rsidR="00F43CE8" w14:paraId="336C75E1" w14:textId="77777777">
        <w:tblPrEx>
          <w:tblBorders>
            <w:top w:val="none" w:sz="0" w:space="0" w:color="auto"/>
          </w:tblBorders>
          <w:tblCellMar>
            <w:top w:w="0" w:type="dxa"/>
            <w:bottom w:w="0" w:type="dxa"/>
          </w:tblCellMar>
        </w:tblPrEx>
        <w:tc>
          <w:tcPr>
            <w:tcW w:w="66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39EF48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Operating expenses</w:t>
            </w:r>
          </w:p>
        </w:tc>
        <w:tc>
          <w:tcPr>
            <w:tcW w:w="40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417568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25,937</w:t>
            </w:r>
          </w:p>
        </w:tc>
        <w:tc>
          <w:tcPr>
            <w:tcW w:w="40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6E5E519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28,038</w:t>
            </w:r>
          </w:p>
        </w:tc>
      </w:tr>
      <w:tr w:rsidR="00F43CE8" w14:paraId="18582B84" w14:textId="77777777">
        <w:tblPrEx>
          <w:tblBorders>
            <w:top w:val="none" w:sz="0" w:space="0" w:color="auto"/>
          </w:tblBorders>
          <w:tblCellMar>
            <w:top w:w="0" w:type="dxa"/>
            <w:bottom w:w="0" w:type="dxa"/>
          </w:tblCellMar>
        </w:tblPrEx>
        <w:tc>
          <w:tcPr>
            <w:tcW w:w="66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2F30DC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EBIT</w:t>
            </w:r>
          </w:p>
        </w:tc>
        <w:tc>
          <w:tcPr>
            <w:tcW w:w="40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16491B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20,470</w:t>
            </w:r>
          </w:p>
        </w:tc>
        <w:tc>
          <w:tcPr>
            <w:tcW w:w="40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2A36EE1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20,646</w:t>
            </w:r>
          </w:p>
        </w:tc>
      </w:tr>
      <w:tr w:rsidR="00F43CE8" w14:paraId="34B12478" w14:textId="77777777">
        <w:tblPrEx>
          <w:tblBorders>
            <w:top w:val="none" w:sz="0" w:space="0" w:color="auto"/>
          </w:tblBorders>
          <w:tblCellMar>
            <w:top w:w="0" w:type="dxa"/>
            <w:bottom w:w="0" w:type="dxa"/>
          </w:tblCellMar>
        </w:tblPrEx>
        <w:tc>
          <w:tcPr>
            <w:tcW w:w="66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98A2DE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Interest expense</w:t>
            </w:r>
          </w:p>
        </w:tc>
        <w:tc>
          <w:tcPr>
            <w:tcW w:w="40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5101E0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484</w:t>
            </w:r>
          </w:p>
        </w:tc>
        <w:tc>
          <w:tcPr>
            <w:tcW w:w="40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265C0ED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402</w:t>
            </w:r>
          </w:p>
        </w:tc>
      </w:tr>
      <w:tr w:rsidR="00F43CE8" w14:paraId="5157EA6F" w14:textId="77777777">
        <w:tblPrEx>
          <w:tblBorders>
            <w:top w:val="none" w:sz="0" w:space="0" w:color="auto"/>
          </w:tblBorders>
          <w:tblCellMar>
            <w:top w:w="0" w:type="dxa"/>
            <w:bottom w:w="0" w:type="dxa"/>
          </w:tblCellMar>
        </w:tblPrEx>
        <w:tc>
          <w:tcPr>
            <w:tcW w:w="66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AD0E07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EBT</w:t>
            </w:r>
          </w:p>
        </w:tc>
        <w:tc>
          <w:tcPr>
            <w:tcW w:w="40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A3F288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19,986</w:t>
            </w:r>
          </w:p>
        </w:tc>
        <w:tc>
          <w:tcPr>
            <w:tcW w:w="40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3402252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20,244</w:t>
            </w:r>
          </w:p>
        </w:tc>
      </w:tr>
      <w:tr w:rsidR="00F43CE8" w14:paraId="044385BE" w14:textId="77777777">
        <w:tblPrEx>
          <w:tblBorders>
            <w:top w:val="none" w:sz="0" w:space="0" w:color="auto"/>
          </w:tblBorders>
          <w:tblCellMar>
            <w:top w:w="0" w:type="dxa"/>
            <w:bottom w:w="0" w:type="dxa"/>
          </w:tblCellMar>
        </w:tblPrEx>
        <w:tc>
          <w:tcPr>
            <w:tcW w:w="66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4C9970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Tax</w:t>
            </w:r>
          </w:p>
        </w:tc>
        <w:tc>
          <w:tcPr>
            <w:tcW w:w="40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4B437F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4,234</w:t>
            </w:r>
          </w:p>
        </w:tc>
        <w:tc>
          <w:tcPr>
            <w:tcW w:w="40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00D4F18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3,363</w:t>
            </w:r>
          </w:p>
        </w:tc>
      </w:tr>
      <w:tr w:rsidR="00F43CE8" w14:paraId="1C0E4CF2" w14:textId="77777777">
        <w:tblPrEx>
          <w:tblBorders>
            <w:top w:val="none" w:sz="0" w:space="0" w:color="auto"/>
          </w:tblBorders>
          <w:tblCellMar>
            <w:top w:w="0" w:type="dxa"/>
            <w:bottom w:w="0" w:type="dxa"/>
          </w:tblCellMar>
        </w:tblPrEx>
        <w:tc>
          <w:tcPr>
            <w:tcW w:w="66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D6E837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Income from continuing operations</w:t>
            </w:r>
          </w:p>
        </w:tc>
        <w:tc>
          <w:tcPr>
            <w:tcW w:w="40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3B76A5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15,752</w:t>
            </w:r>
          </w:p>
        </w:tc>
        <w:tc>
          <w:tcPr>
            <w:tcW w:w="40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2E76BBC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16,881</w:t>
            </w:r>
          </w:p>
        </w:tc>
      </w:tr>
      <w:tr w:rsidR="00F43CE8" w14:paraId="094F31D9" w14:textId="77777777">
        <w:tblPrEx>
          <w:tblBorders>
            <w:top w:val="none" w:sz="0" w:space="0" w:color="auto"/>
          </w:tblBorders>
          <w:tblCellMar>
            <w:top w:w="0" w:type="dxa"/>
            <w:bottom w:w="0" w:type="dxa"/>
          </w:tblCellMar>
        </w:tblPrEx>
        <w:tc>
          <w:tcPr>
            <w:tcW w:w="66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BAAAFF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Discontinued operations</w:t>
            </w:r>
          </w:p>
        </w:tc>
        <w:tc>
          <w:tcPr>
            <w:tcW w:w="40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E2DD3A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(3,730)</w:t>
            </w:r>
          </w:p>
        </w:tc>
        <w:tc>
          <w:tcPr>
            <w:tcW w:w="40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0F1DE7B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(398)</w:t>
            </w:r>
          </w:p>
        </w:tc>
      </w:tr>
      <w:tr w:rsidR="00F43CE8" w14:paraId="4879743A" w14:textId="77777777">
        <w:tblPrEx>
          <w:tblBorders>
            <w:top w:val="none" w:sz="0" w:space="0" w:color="auto"/>
            <w:bottom w:val="single" w:sz="8" w:space="0" w:color="595959"/>
          </w:tblBorders>
          <w:tblCellMar>
            <w:top w:w="0" w:type="dxa"/>
            <w:bottom w:w="0" w:type="dxa"/>
          </w:tblCellMar>
        </w:tblPrEx>
        <w:tc>
          <w:tcPr>
            <w:tcW w:w="66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E38078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Net income</w:t>
            </w:r>
          </w:p>
        </w:tc>
        <w:tc>
          <w:tcPr>
            <w:tcW w:w="40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686B57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12,022</w:t>
            </w:r>
          </w:p>
        </w:tc>
        <w:tc>
          <w:tcPr>
            <w:tcW w:w="40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78ED739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16,483</w:t>
            </w:r>
          </w:p>
        </w:tc>
      </w:tr>
    </w:tbl>
    <w:p w14:paraId="766CAA69" w14:textId="77777777" w:rsidR="00F43CE8" w:rsidRDefault="00F43CE8" w:rsidP="00F43CE8">
      <w:pPr>
        <w:widowControl w:val="0"/>
        <w:autoSpaceDE w:val="0"/>
        <w:autoSpaceDN w:val="0"/>
        <w:adjustRightInd w:val="0"/>
        <w:rPr>
          <w:rFonts w:ascii="Helvetica" w:hAnsi="Helvetica" w:cs="Helvetica"/>
          <w:color w:val="444444"/>
          <w:sz w:val="22"/>
          <w:szCs w:val="22"/>
        </w:rPr>
      </w:pPr>
      <w:r>
        <w:rPr>
          <w:rFonts w:ascii="Helvetica" w:hAnsi="Helvetica" w:cs="Helvetica"/>
          <w:b/>
          <w:bCs/>
          <w:color w:val="444444"/>
          <w:sz w:val="22"/>
          <w:szCs w:val="22"/>
        </w:rPr>
        <w:t>Source:</w:t>
      </w:r>
      <w:r>
        <w:rPr>
          <w:rFonts w:ascii="Helvetica" w:hAnsi="Helvetica" w:cs="Helvetica"/>
          <w:color w:val="444444"/>
          <w:sz w:val="22"/>
          <w:szCs w:val="22"/>
        </w:rPr>
        <w:t xml:space="preserve"> Based on IBM’s company documents.</w:t>
      </w:r>
    </w:p>
    <w:p w14:paraId="41D27A13" w14:textId="77777777" w:rsidR="00F43CE8" w:rsidRDefault="00F43CE8" w:rsidP="00F43CE8">
      <w:pPr>
        <w:widowControl w:val="0"/>
        <w:autoSpaceDE w:val="0"/>
        <w:autoSpaceDN w:val="0"/>
        <w:adjustRightInd w:val="0"/>
        <w:rPr>
          <w:rFonts w:ascii="Helvetica" w:hAnsi="Helvetica" w:cs="Helvetica"/>
          <w:b/>
          <w:bCs/>
          <w:color w:val="080808"/>
          <w:sz w:val="32"/>
          <w:szCs w:val="32"/>
        </w:rPr>
      </w:pPr>
      <w:r>
        <w:rPr>
          <w:rFonts w:ascii="Helvetica" w:hAnsi="Helvetica" w:cs="Helvetica"/>
          <w:b/>
          <w:bCs/>
          <w:color w:val="080808"/>
          <w:sz w:val="36"/>
          <w:szCs w:val="36"/>
        </w:rPr>
        <w:t>Exhibit</w:t>
      </w:r>
      <w:r>
        <w:rPr>
          <w:rFonts w:ascii="Helvetica" w:hAnsi="Helvetica" w:cs="Helvetica"/>
          <w:b/>
          <w:bCs/>
          <w:color w:val="080808"/>
          <w:sz w:val="32"/>
          <w:szCs w:val="32"/>
        </w:rPr>
        <w:t xml:space="preserve"> </w:t>
      </w:r>
      <w:r>
        <w:rPr>
          <w:rFonts w:ascii="Helvetica" w:hAnsi="Helvetica" w:cs="Helvetica"/>
          <w:b/>
          <w:bCs/>
          <w:color w:val="080808"/>
          <w:sz w:val="36"/>
          <w:szCs w:val="36"/>
        </w:rPr>
        <w:t>4</w:t>
      </w:r>
      <w:r>
        <w:rPr>
          <w:rFonts w:ascii="Helvetica" w:hAnsi="Helvetica" w:cs="Helvetica"/>
          <w:color w:val="444444"/>
          <w:sz w:val="28"/>
          <w:szCs w:val="28"/>
        </w:rPr>
        <w:t> </w:t>
      </w:r>
      <w:r>
        <w:rPr>
          <w:rFonts w:ascii="Helvetica" w:hAnsi="Helvetica" w:cs="Helvetica"/>
          <w:color w:val="444444"/>
          <w:sz w:val="28"/>
          <w:szCs w:val="28"/>
        </w:rPr>
        <w:t>Balance Sheet (in millions of USD)</w:t>
      </w:r>
    </w:p>
    <w:tbl>
      <w:tblPr>
        <w:tblW w:w="0" w:type="auto"/>
        <w:tblInd w:w="-108" w:type="dxa"/>
        <w:tblBorders>
          <w:top w:val="single" w:sz="8" w:space="0" w:color="595959"/>
          <w:left w:val="nil"/>
          <w:right w:val="nil"/>
        </w:tblBorders>
        <w:tblLayout w:type="fixed"/>
        <w:tblLook w:val="0000" w:firstRow="0" w:lastRow="0" w:firstColumn="0" w:lastColumn="0" w:noHBand="0" w:noVBand="0"/>
      </w:tblPr>
      <w:tblGrid>
        <w:gridCol w:w="6880"/>
        <w:gridCol w:w="3960"/>
        <w:gridCol w:w="3960"/>
      </w:tblGrid>
      <w:tr w:rsidR="00F43CE8" w14:paraId="6A6BF0BA" w14:textId="77777777">
        <w:tblPrEx>
          <w:tblCellMar>
            <w:top w:w="0" w:type="dxa"/>
            <w:bottom w:w="0" w:type="dxa"/>
          </w:tblCellMar>
        </w:tblPrEx>
        <w:tc>
          <w:tcPr>
            <w:tcW w:w="6880" w:type="dxa"/>
            <w:tcBorders>
              <w:top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42A21587"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Report Date</w:t>
            </w:r>
          </w:p>
        </w:tc>
        <w:tc>
          <w:tcPr>
            <w:tcW w:w="396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5F20A1BA"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December 31, 2014</w:t>
            </w:r>
          </w:p>
        </w:tc>
        <w:tc>
          <w:tcPr>
            <w:tcW w:w="3960" w:type="dxa"/>
            <w:tcBorders>
              <w:top w:val="single" w:sz="8" w:space="0" w:color="595959"/>
              <w:left w:val="single" w:sz="8" w:space="0" w:color="595959"/>
              <w:bottom w:val="single" w:sz="8" w:space="0" w:color="595959"/>
            </w:tcBorders>
            <w:shd w:val="clear" w:color="auto" w:fill="auto"/>
            <w:tcMar>
              <w:top w:w="300" w:type="nil"/>
              <w:left w:w="300" w:type="nil"/>
              <w:bottom w:w="300" w:type="nil"/>
              <w:right w:w="300" w:type="nil"/>
            </w:tcMar>
          </w:tcPr>
          <w:p w14:paraId="01E93391"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December 31, 2013</w:t>
            </w:r>
          </w:p>
        </w:tc>
      </w:tr>
      <w:tr w:rsidR="00F43CE8" w14:paraId="09D97E34"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9FF127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Cash</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97482F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$8,476</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65D079B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$11,066</w:t>
            </w:r>
          </w:p>
        </w:tc>
      </w:tr>
      <w:tr w:rsidR="00F43CE8" w14:paraId="62D4332B"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7CB50E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Accounts receivable</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DEAA63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31,831</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3DF7B47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31,836</w:t>
            </w:r>
          </w:p>
        </w:tc>
      </w:tr>
      <w:tr w:rsidR="00F43CE8" w14:paraId="6455F32F"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1BBD9F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Inventories</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EA53D9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2,103</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4439469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2,310</w:t>
            </w:r>
          </w:p>
        </w:tc>
      </w:tr>
      <w:tr w:rsidR="00F43CE8" w14:paraId="5A4CADAD"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05F343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Deferred taxes and prepaid expenses</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F63935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7,012</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5A17B37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6,138</w:t>
            </w:r>
          </w:p>
        </w:tc>
      </w:tr>
      <w:tr w:rsidR="00F43CE8" w14:paraId="4B17F811"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AAFB0B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Total current assets</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11A774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49,422</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7F5DC33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51,350</w:t>
            </w:r>
          </w:p>
        </w:tc>
      </w:tr>
      <w:tr w:rsidR="00F43CE8" w14:paraId="46D7FC55"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194763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Property, plant &amp; equipment</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7883E9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10,771</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70D56D8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13,821</w:t>
            </w:r>
          </w:p>
        </w:tc>
      </w:tr>
      <w:tr w:rsidR="00F43CE8" w14:paraId="3D08A5F3"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6F8218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Long-term receivables</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82AC09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11,109</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7B2B091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12,755</w:t>
            </w:r>
          </w:p>
        </w:tc>
      </w:tr>
      <w:tr w:rsidR="00F43CE8" w14:paraId="0206FFBC"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FD3390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Goodwill</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53F0AD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30,556</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4E8FE9B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31,184</w:t>
            </w:r>
          </w:p>
        </w:tc>
      </w:tr>
      <w:tr w:rsidR="00F43CE8" w14:paraId="7349632A"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18D7D6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Intangible assets</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C0FC0E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3,104</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5368B73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3,871</w:t>
            </w:r>
          </w:p>
        </w:tc>
      </w:tr>
      <w:tr w:rsidR="00F43CE8" w14:paraId="31AD6F3F"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16E263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Other assets</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9BCCB7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12,570</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3AD5A87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13,242</w:t>
            </w:r>
          </w:p>
        </w:tc>
      </w:tr>
      <w:tr w:rsidR="00F43CE8" w14:paraId="6B91E362"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591815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Total assets</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A1B4B4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117,532</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2422F15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126,223</w:t>
            </w:r>
          </w:p>
        </w:tc>
      </w:tr>
      <w:tr w:rsidR="00F43CE8" w14:paraId="255981CF"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56CD10B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Taxes</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140684A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5,084</w:t>
            </w:r>
          </w:p>
        </w:tc>
        <w:tc>
          <w:tcPr>
            <w:tcW w:w="3960" w:type="dxa"/>
            <w:tcBorders>
              <w:top w:val="single" w:sz="8" w:space="0" w:color="595959"/>
              <w:left w:val="single" w:sz="8" w:space="0" w:color="595959"/>
              <w:bottom w:val="single" w:sz="8" w:space="0" w:color="595959"/>
            </w:tcBorders>
            <w:shd w:val="clear" w:color="auto" w:fill="E6E6E6"/>
            <w:tcMar>
              <w:top w:w="300" w:type="nil"/>
              <w:left w:w="900" w:type="nil"/>
              <w:bottom w:w="300" w:type="nil"/>
              <w:right w:w="300" w:type="nil"/>
            </w:tcMar>
          </w:tcPr>
          <w:p w14:paraId="591C14D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4,633</w:t>
            </w:r>
          </w:p>
        </w:tc>
      </w:tr>
      <w:tr w:rsidR="00F43CE8" w14:paraId="2DB089DC"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5D5B10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Short-term debt</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1F5105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5,731</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517FC4D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6,862</w:t>
            </w:r>
          </w:p>
        </w:tc>
      </w:tr>
      <w:tr w:rsidR="00F43CE8" w14:paraId="46E5A770"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8A5978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Accounts payable</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3B2473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6,864</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596305E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7,461</w:t>
            </w:r>
          </w:p>
        </w:tc>
      </w:tr>
      <w:tr w:rsidR="00F43CE8" w14:paraId="142879A3"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355429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Other current liabilities</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8E8589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21,921</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749BB2D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21,198</w:t>
            </w:r>
          </w:p>
        </w:tc>
      </w:tr>
      <w:tr w:rsidR="00F43CE8" w14:paraId="3D09F3EE"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FCF173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Total current liabilities</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6B9766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39,600</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43FF87C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40,154</w:t>
            </w:r>
          </w:p>
        </w:tc>
      </w:tr>
      <w:tr w:rsidR="00F43CE8" w14:paraId="13C57393"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1DFC23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Long-term debt</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02B4A4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35,073</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57CDF88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32,856</w:t>
            </w:r>
          </w:p>
        </w:tc>
      </w:tr>
      <w:tr w:rsidR="00F43CE8" w14:paraId="521FE207"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8EF77E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Retirement obligations</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5D8179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18,261</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3E0EA01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16,242</w:t>
            </w:r>
          </w:p>
        </w:tc>
      </w:tr>
      <w:tr w:rsidR="00F43CE8" w14:paraId="49056D17"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C2EFA5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Other liabilities</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145ABC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12,584</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08DAB2A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14,042</w:t>
            </w:r>
          </w:p>
        </w:tc>
      </w:tr>
      <w:tr w:rsidR="00F43CE8" w14:paraId="1DF69C8C"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036E7D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Total liabilities</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5681C5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105,518</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0612E56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103,294</w:t>
            </w:r>
          </w:p>
        </w:tc>
      </w:tr>
      <w:tr w:rsidR="00F43CE8" w14:paraId="25B64FCD"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18E0665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Common stock</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73C2523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52,666</w:t>
            </w:r>
          </w:p>
        </w:tc>
        <w:tc>
          <w:tcPr>
            <w:tcW w:w="3960" w:type="dxa"/>
            <w:tcBorders>
              <w:top w:val="single" w:sz="8" w:space="0" w:color="595959"/>
              <w:left w:val="single" w:sz="8" w:space="0" w:color="595959"/>
              <w:bottom w:val="single" w:sz="8" w:space="0" w:color="595959"/>
            </w:tcBorders>
            <w:shd w:val="clear" w:color="auto" w:fill="FFFFFF"/>
            <w:tcMar>
              <w:top w:w="300" w:type="nil"/>
              <w:left w:w="900" w:type="nil"/>
              <w:bottom w:w="300" w:type="nil"/>
              <w:right w:w="300" w:type="nil"/>
            </w:tcMar>
          </w:tcPr>
          <w:p w14:paraId="00D926E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51,594</w:t>
            </w:r>
          </w:p>
        </w:tc>
      </w:tr>
      <w:tr w:rsidR="00F43CE8" w14:paraId="20DEF9AE"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E2023D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Retained earnings</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20B050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137,793</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4BCD5FB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130,042</w:t>
            </w:r>
          </w:p>
        </w:tc>
      </w:tr>
      <w:tr w:rsidR="00F43CE8" w14:paraId="60BEF5A7"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51D532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Treasury stock</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10B582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(150,715)</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5B40D1D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(137,242)</w:t>
            </w:r>
          </w:p>
        </w:tc>
      </w:tr>
      <w:tr w:rsidR="00F43CE8" w14:paraId="462D7E83"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8E2EBA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Other</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476187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(27,730)</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51946D2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(21,465)</w:t>
            </w:r>
          </w:p>
        </w:tc>
      </w:tr>
      <w:tr w:rsidR="00F43CE8" w14:paraId="1067FBB1" w14:textId="77777777">
        <w:tblPrEx>
          <w:tblBorders>
            <w:top w:val="none" w:sz="0" w:space="0" w:color="auto"/>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A5B4AA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Total equity</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B4B7AB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12,014</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19B002C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22,929</w:t>
            </w:r>
          </w:p>
        </w:tc>
      </w:tr>
      <w:tr w:rsidR="00F43CE8" w14:paraId="5225A15B" w14:textId="77777777">
        <w:tblPrEx>
          <w:tblBorders>
            <w:top w:val="none" w:sz="0" w:space="0" w:color="auto"/>
            <w:bottom w:val="single" w:sz="8" w:space="0" w:color="595959"/>
          </w:tblBorders>
          <w:tblCellMar>
            <w:top w:w="0" w:type="dxa"/>
            <w:bottom w:w="0" w:type="dxa"/>
          </w:tblCellMar>
        </w:tblPrEx>
        <w:tc>
          <w:tcPr>
            <w:tcW w:w="6880" w:type="dxa"/>
            <w:tcBorders>
              <w:top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002F75E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Total liabilities &amp; equity</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37CA755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117,532</w:t>
            </w:r>
          </w:p>
        </w:tc>
        <w:tc>
          <w:tcPr>
            <w:tcW w:w="3960" w:type="dxa"/>
            <w:tcBorders>
              <w:top w:val="single" w:sz="8" w:space="0" w:color="595959"/>
              <w:left w:val="single" w:sz="8" w:space="0" w:color="595959"/>
              <w:bottom w:val="single" w:sz="8" w:space="0" w:color="595959"/>
            </w:tcBorders>
            <w:shd w:val="clear" w:color="auto" w:fill="E6E6E6"/>
            <w:tcMar>
              <w:top w:w="300" w:type="nil"/>
              <w:left w:w="900" w:type="nil"/>
              <w:bottom w:w="300" w:type="nil"/>
              <w:right w:w="300" w:type="nil"/>
            </w:tcMar>
          </w:tcPr>
          <w:p w14:paraId="6D041EF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126,223</w:t>
            </w:r>
          </w:p>
        </w:tc>
      </w:tr>
    </w:tbl>
    <w:p w14:paraId="08AC0AFC" w14:textId="77777777" w:rsidR="00F43CE8" w:rsidRDefault="00F43CE8" w:rsidP="00F43CE8">
      <w:pPr>
        <w:widowControl w:val="0"/>
        <w:autoSpaceDE w:val="0"/>
        <w:autoSpaceDN w:val="0"/>
        <w:adjustRightInd w:val="0"/>
        <w:rPr>
          <w:rFonts w:ascii="Helvetica" w:hAnsi="Helvetica" w:cs="Helvetica"/>
          <w:color w:val="444444"/>
          <w:sz w:val="22"/>
          <w:szCs w:val="22"/>
        </w:rPr>
      </w:pPr>
      <w:r>
        <w:rPr>
          <w:rFonts w:ascii="Helvetica" w:hAnsi="Helvetica" w:cs="Helvetica"/>
          <w:b/>
          <w:bCs/>
          <w:color w:val="444444"/>
          <w:sz w:val="22"/>
          <w:szCs w:val="22"/>
        </w:rPr>
        <w:t>Source:</w:t>
      </w:r>
      <w:r>
        <w:rPr>
          <w:rFonts w:ascii="Helvetica" w:hAnsi="Helvetica" w:cs="Helvetica"/>
          <w:color w:val="444444"/>
          <w:sz w:val="22"/>
          <w:szCs w:val="22"/>
        </w:rPr>
        <w:t xml:space="preserve"> Based on IBM’s company documents.</w:t>
      </w:r>
    </w:p>
    <w:p w14:paraId="4B2E20BD" w14:textId="77777777" w:rsidR="00F43CE8" w:rsidRDefault="00F43CE8" w:rsidP="00F43CE8">
      <w:pPr>
        <w:widowControl w:val="0"/>
        <w:autoSpaceDE w:val="0"/>
        <w:autoSpaceDN w:val="0"/>
        <w:adjustRightInd w:val="0"/>
        <w:rPr>
          <w:rFonts w:ascii="Helvetica" w:hAnsi="Helvetica" w:cs="Helvetica"/>
          <w:color w:val="444444"/>
          <w:sz w:val="68"/>
          <w:szCs w:val="68"/>
        </w:rPr>
      </w:pPr>
      <w:r>
        <w:rPr>
          <w:rFonts w:ascii="Helvetica" w:hAnsi="Helvetica" w:cs="Helvetica"/>
          <w:color w:val="444444"/>
          <w:sz w:val="68"/>
          <w:szCs w:val="68"/>
        </w:rPr>
        <w:t>Competition</w:t>
      </w:r>
    </w:p>
    <w:p w14:paraId="43AADF88"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EF2D37"/>
          <w:sz w:val="32"/>
          <w:szCs w:val="32"/>
        </w:rPr>
        <w:t>Exhibit 5</w:t>
      </w:r>
      <w:r>
        <w:rPr>
          <w:rFonts w:ascii="Helvetica" w:hAnsi="Helvetica" w:cs="Helvetica"/>
          <w:color w:val="080808"/>
          <w:sz w:val="32"/>
          <w:szCs w:val="32"/>
        </w:rPr>
        <w:t xml:space="preserve"> provides a comparison of IBM with HP and Accenture. Note that IBM is larger than both rival firms put together.</w:t>
      </w:r>
    </w:p>
    <w:p w14:paraId="0D4E3B54" w14:textId="77777777" w:rsidR="00F43CE8" w:rsidRDefault="00F43CE8" w:rsidP="00F43CE8">
      <w:pPr>
        <w:widowControl w:val="0"/>
        <w:autoSpaceDE w:val="0"/>
        <w:autoSpaceDN w:val="0"/>
        <w:adjustRightInd w:val="0"/>
        <w:rPr>
          <w:rFonts w:ascii="Helvetica" w:hAnsi="Helvetica" w:cs="Helvetica"/>
          <w:b/>
          <w:bCs/>
          <w:color w:val="080808"/>
          <w:sz w:val="32"/>
          <w:szCs w:val="32"/>
        </w:rPr>
      </w:pPr>
      <w:r>
        <w:rPr>
          <w:rFonts w:ascii="Helvetica" w:hAnsi="Helvetica" w:cs="Helvetica"/>
          <w:b/>
          <w:bCs/>
          <w:color w:val="080808"/>
          <w:sz w:val="36"/>
          <w:szCs w:val="36"/>
        </w:rPr>
        <w:t>Exhibit</w:t>
      </w:r>
      <w:r>
        <w:rPr>
          <w:rFonts w:ascii="Helvetica" w:hAnsi="Helvetica" w:cs="Helvetica"/>
          <w:b/>
          <w:bCs/>
          <w:color w:val="080808"/>
          <w:sz w:val="32"/>
          <w:szCs w:val="32"/>
        </w:rPr>
        <w:t xml:space="preserve"> </w:t>
      </w:r>
      <w:r>
        <w:rPr>
          <w:rFonts w:ascii="Helvetica" w:hAnsi="Helvetica" w:cs="Helvetica"/>
          <w:b/>
          <w:bCs/>
          <w:color w:val="080808"/>
          <w:sz w:val="36"/>
          <w:szCs w:val="36"/>
        </w:rPr>
        <w:t>5</w:t>
      </w:r>
      <w:r>
        <w:rPr>
          <w:rFonts w:ascii="Helvetica" w:hAnsi="Helvetica" w:cs="Helvetica"/>
          <w:color w:val="444444"/>
          <w:sz w:val="28"/>
          <w:szCs w:val="28"/>
        </w:rPr>
        <w:t> </w:t>
      </w:r>
      <w:r>
        <w:rPr>
          <w:rFonts w:ascii="Helvetica" w:hAnsi="Helvetica" w:cs="Helvetica"/>
          <w:color w:val="444444"/>
          <w:sz w:val="28"/>
          <w:szCs w:val="28"/>
        </w:rPr>
        <w:t>IBM versus Rival Firms</w:t>
      </w:r>
    </w:p>
    <w:tbl>
      <w:tblPr>
        <w:tblW w:w="0" w:type="auto"/>
        <w:tblInd w:w="-108" w:type="dxa"/>
        <w:tblBorders>
          <w:top w:val="single" w:sz="8" w:space="0" w:color="595959"/>
          <w:left w:val="nil"/>
          <w:right w:val="nil"/>
        </w:tblBorders>
        <w:tblLayout w:type="fixed"/>
        <w:tblLook w:val="0000" w:firstRow="0" w:lastRow="0" w:firstColumn="0" w:lastColumn="0" w:noHBand="0" w:noVBand="0"/>
      </w:tblPr>
      <w:tblGrid>
        <w:gridCol w:w="5460"/>
        <w:gridCol w:w="3140"/>
        <w:gridCol w:w="2900"/>
        <w:gridCol w:w="3300"/>
      </w:tblGrid>
      <w:tr w:rsidR="00F43CE8" w14:paraId="6AC287EC" w14:textId="77777777">
        <w:tblPrEx>
          <w:tblCellMar>
            <w:top w:w="0" w:type="dxa"/>
            <w:bottom w:w="0" w:type="dxa"/>
          </w:tblCellMar>
        </w:tblPrEx>
        <w:tc>
          <w:tcPr>
            <w:tcW w:w="5460" w:type="dxa"/>
            <w:tcBorders>
              <w:top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0D46AD9B" w14:textId="77777777" w:rsidR="00F43CE8" w:rsidRDefault="00F43CE8">
            <w:pPr>
              <w:widowControl w:val="0"/>
              <w:autoSpaceDE w:val="0"/>
              <w:autoSpaceDN w:val="0"/>
              <w:adjustRightInd w:val="0"/>
              <w:rPr>
                <w:rFonts w:ascii="Helvetica" w:hAnsi="Helvetica" w:cs="Helvetica"/>
                <w:b/>
                <w:bCs/>
                <w:color w:val="FFFFFF"/>
                <w:sz w:val="30"/>
                <w:szCs w:val="30"/>
              </w:rPr>
            </w:pPr>
          </w:p>
        </w:tc>
        <w:tc>
          <w:tcPr>
            <w:tcW w:w="314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6B7ECD9A" w14:textId="77777777" w:rsidR="00F43CE8" w:rsidRDefault="00F43CE8">
            <w:pPr>
              <w:widowControl w:val="0"/>
              <w:autoSpaceDE w:val="0"/>
              <w:autoSpaceDN w:val="0"/>
              <w:adjustRightInd w:val="0"/>
              <w:rPr>
                <w:rFonts w:ascii="Helvetica" w:hAnsi="Helvetica" w:cs="Helvetica"/>
                <w:b/>
                <w:bCs/>
                <w:color w:val="FFFFFF"/>
                <w:sz w:val="30"/>
                <w:szCs w:val="30"/>
              </w:rPr>
            </w:pPr>
            <w:proofErr w:type="spellStart"/>
            <w:r>
              <w:rPr>
                <w:rFonts w:ascii="Helvetica" w:hAnsi="Helvetica" w:cs="Helvetica"/>
                <w:b/>
                <w:bCs/>
                <w:color w:val="FFFFFF"/>
                <w:sz w:val="30"/>
                <w:szCs w:val="30"/>
              </w:rPr>
              <w:t>Ibm</w:t>
            </w:r>
            <w:proofErr w:type="spellEnd"/>
          </w:p>
        </w:tc>
        <w:tc>
          <w:tcPr>
            <w:tcW w:w="290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7AA272EB"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HP</w:t>
            </w:r>
          </w:p>
        </w:tc>
        <w:tc>
          <w:tcPr>
            <w:tcW w:w="3300" w:type="dxa"/>
            <w:tcBorders>
              <w:top w:val="single" w:sz="8" w:space="0" w:color="595959"/>
              <w:left w:val="single" w:sz="8" w:space="0" w:color="595959"/>
              <w:bottom w:val="single" w:sz="8" w:space="0" w:color="595959"/>
            </w:tcBorders>
            <w:shd w:val="clear" w:color="auto" w:fill="auto"/>
            <w:tcMar>
              <w:top w:w="300" w:type="nil"/>
              <w:left w:w="300" w:type="nil"/>
              <w:bottom w:w="300" w:type="nil"/>
              <w:right w:w="300" w:type="nil"/>
            </w:tcMar>
          </w:tcPr>
          <w:p w14:paraId="451FA9D1"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Accenture</w:t>
            </w:r>
          </w:p>
        </w:tc>
      </w:tr>
      <w:tr w:rsidR="00F43CE8" w14:paraId="5FE1137F" w14:textId="77777777">
        <w:tblPrEx>
          <w:tblBorders>
            <w:top w:val="none" w:sz="0" w:space="0" w:color="auto"/>
          </w:tblBorders>
          <w:tblCellMar>
            <w:top w:w="0" w:type="dxa"/>
            <w:bottom w:w="0" w:type="dxa"/>
          </w:tblCellMar>
        </w:tblPrEx>
        <w:tc>
          <w:tcPr>
            <w:tcW w:w="54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3E5502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 Employees</w:t>
            </w:r>
          </w:p>
        </w:tc>
        <w:tc>
          <w:tcPr>
            <w:tcW w:w="31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F401BA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430,000</w:t>
            </w:r>
          </w:p>
        </w:tc>
        <w:tc>
          <w:tcPr>
            <w:tcW w:w="290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972378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11,900</w:t>
            </w:r>
          </w:p>
        </w:tc>
        <w:tc>
          <w:tcPr>
            <w:tcW w:w="330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5DC8152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320,000</w:t>
            </w:r>
          </w:p>
        </w:tc>
      </w:tr>
      <w:tr w:rsidR="00F43CE8" w14:paraId="548FB080" w14:textId="77777777">
        <w:tblPrEx>
          <w:tblBorders>
            <w:top w:val="none" w:sz="0" w:space="0" w:color="auto"/>
          </w:tblBorders>
          <w:tblCellMar>
            <w:top w:w="0" w:type="dxa"/>
            <w:bottom w:w="0" w:type="dxa"/>
          </w:tblCellMar>
        </w:tblPrEx>
        <w:tc>
          <w:tcPr>
            <w:tcW w:w="54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8B5D92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 Net Income</w:t>
            </w:r>
          </w:p>
        </w:tc>
        <w:tc>
          <w:tcPr>
            <w:tcW w:w="31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358D48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$12,000 M</w:t>
            </w:r>
          </w:p>
        </w:tc>
        <w:tc>
          <w:tcPr>
            <w:tcW w:w="290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1DF438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707 M</w:t>
            </w:r>
          </w:p>
        </w:tc>
        <w:tc>
          <w:tcPr>
            <w:tcW w:w="330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3D2F244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$2,941 M</w:t>
            </w:r>
          </w:p>
        </w:tc>
      </w:tr>
      <w:tr w:rsidR="00F43CE8" w14:paraId="37E86D70" w14:textId="77777777">
        <w:tblPrEx>
          <w:tblBorders>
            <w:top w:val="none" w:sz="0" w:space="0" w:color="auto"/>
          </w:tblBorders>
          <w:tblCellMar>
            <w:top w:w="0" w:type="dxa"/>
            <w:bottom w:w="0" w:type="dxa"/>
          </w:tblCellMar>
        </w:tblPrEx>
        <w:tc>
          <w:tcPr>
            <w:tcW w:w="54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773103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 Revenue</w:t>
            </w:r>
          </w:p>
        </w:tc>
        <w:tc>
          <w:tcPr>
            <w:tcW w:w="31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442EA0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$92.8 B</w:t>
            </w:r>
          </w:p>
        </w:tc>
        <w:tc>
          <w:tcPr>
            <w:tcW w:w="290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618B74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$3.7 B</w:t>
            </w:r>
          </w:p>
        </w:tc>
        <w:tc>
          <w:tcPr>
            <w:tcW w:w="330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4D3CFDF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$31.8 B</w:t>
            </w:r>
          </w:p>
        </w:tc>
      </w:tr>
      <w:tr w:rsidR="00F43CE8" w14:paraId="2F960AD0" w14:textId="77777777">
        <w:tblPrEx>
          <w:tblBorders>
            <w:top w:val="none" w:sz="0" w:space="0" w:color="auto"/>
          </w:tblBorders>
          <w:tblCellMar>
            <w:top w:w="0" w:type="dxa"/>
            <w:bottom w:w="0" w:type="dxa"/>
          </w:tblCellMar>
        </w:tblPrEx>
        <w:tc>
          <w:tcPr>
            <w:tcW w:w="54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ABB20B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 Revenue/Employee</w:t>
            </w:r>
          </w:p>
        </w:tc>
        <w:tc>
          <w:tcPr>
            <w:tcW w:w="31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7E26A0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$215,814</w:t>
            </w:r>
          </w:p>
        </w:tc>
        <w:tc>
          <w:tcPr>
            <w:tcW w:w="290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409E00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$310,924</w:t>
            </w:r>
          </w:p>
        </w:tc>
        <w:tc>
          <w:tcPr>
            <w:tcW w:w="330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79E3B4A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$99,375</w:t>
            </w:r>
          </w:p>
        </w:tc>
      </w:tr>
      <w:tr w:rsidR="00F43CE8" w14:paraId="1B3072C5" w14:textId="77777777">
        <w:tblPrEx>
          <w:tblBorders>
            <w:top w:val="none" w:sz="0" w:space="0" w:color="auto"/>
          </w:tblBorders>
          <w:tblCellMar>
            <w:top w:w="0" w:type="dxa"/>
            <w:bottom w:w="0" w:type="dxa"/>
          </w:tblCellMar>
        </w:tblPrEx>
        <w:tc>
          <w:tcPr>
            <w:tcW w:w="54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A29A48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 EPS Ratio</w:t>
            </w:r>
          </w:p>
        </w:tc>
        <w:tc>
          <w:tcPr>
            <w:tcW w:w="31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A9AB10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$11.90</w:t>
            </w:r>
          </w:p>
        </w:tc>
        <w:tc>
          <w:tcPr>
            <w:tcW w:w="290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B854FE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$6.72</w:t>
            </w:r>
          </w:p>
        </w:tc>
        <w:tc>
          <w:tcPr>
            <w:tcW w:w="330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045710E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$4.66</w:t>
            </w:r>
          </w:p>
        </w:tc>
      </w:tr>
      <w:tr w:rsidR="00F43CE8" w14:paraId="5AE6DFE7" w14:textId="77777777">
        <w:tblPrEx>
          <w:tblBorders>
            <w:top w:val="none" w:sz="0" w:space="0" w:color="auto"/>
            <w:bottom w:val="single" w:sz="8" w:space="0" w:color="595959"/>
          </w:tblBorders>
          <w:tblCellMar>
            <w:top w:w="0" w:type="dxa"/>
            <w:bottom w:w="0" w:type="dxa"/>
          </w:tblCellMar>
        </w:tblPrEx>
        <w:tc>
          <w:tcPr>
            <w:tcW w:w="54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CAFA4E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Market Cap.</w:t>
            </w:r>
          </w:p>
        </w:tc>
        <w:tc>
          <w:tcPr>
            <w:tcW w:w="31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9568B6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$155 B</w:t>
            </w:r>
          </w:p>
        </w:tc>
        <w:tc>
          <w:tcPr>
            <w:tcW w:w="290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83006C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$7.3 B</w:t>
            </w:r>
          </w:p>
        </w:tc>
        <w:tc>
          <w:tcPr>
            <w:tcW w:w="330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2580D7E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$55.4 B</w:t>
            </w:r>
          </w:p>
        </w:tc>
      </w:tr>
    </w:tbl>
    <w:p w14:paraId="662882D9" w14:textId="77777777" w:rsidR="00F43CE8" w:rsidRDefault="00F43CE8" w:rsidP="00F43CE8">
      <w:pPr>
        <w:widowControl w:val="0"/>
        <w:autoSpaceDE w:val="0"/>
        <w:autoSpaceDN w:val="0"/>
        <w:adjustRightInd w:val="0"/>
        <w:rPr>
          <w:rFonts w:ascii="Helvetica" w:hAnsi="Helvetica" w:cs="Helvetica"/>
          <w:color w:val="444444"/>
          <w:sz w:val="22"/>
          <w:szCs w:val="22"/>
        </w:rPr>
      </w:pPr>
      <w:r>
        <w:rPr>
          <w:rFonts w:ascii="Helvetica" w:hAnsi="Helvetica" w:cs="Helvetica"/>
          <w:b/>
          <w:bCs/>
          <w:color w:val="444444"/>
          <w:sz w:val="22"/>
          <w:szCs w:val="22"/>
        </w:rPr>
        <w:t>Source:</w:t>
      </w:r>
      <w:r>
        <w:rPr>
          <w:rFonts w:ascii="Helvetica" w:hAnsi="Helvetica" w:cs="Helvetica"/>
          <w:color w:val="444444"/>
          <w:sz w:val="22"/>
          <w:szCs w:val="22"/>
        </w:rPr>
        <w:t xml:space="preserve"> Based on IBM’s company documents.</w:t>
      </w:r>
    </w:p>
    <w:p w14:paraId="3B30A82F"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Hewlett Packard (HP)</w:t>
      </w:r>
    </w:p>
    <w:p w14:paraId="54B0D563"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Based in Palo Alto, California, HP provides technologies, software, PCs, workstations, tables, calculators, and many other accessories and services to individuals as well as corporations. The company has been struggling in recent years, with both revenues and profits decreasing annually from the $127 billion and $30 billion, respectively, reported back in 2011.</w:t>
      </w:r>
    </w:p>
    <w:p w14:paraId="1EF7074A"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Hewlett Packard prides itself on three key areas: converged cloud, big data, and security and risk management. Forrester’s Wave for Private Cloud recently declared HP to be the world leader in the private cloud market, earning the highest rankings for 8 of 15 categories measured. HP prides its cloud business on providing customers with an easier installation and configuration process than traditionally cloud-based products provided. HP’s new cloud technology allows users to better streamline its IT operations, design workloads in a more optimal fashion, and provide an open source design. HP’s new Vertica Analytics Platform is the firm’s flagship big data package that enables companies to quickly analyze large volumes of data in real time. The software provides support for both C++ and R statistical language.</w:t>
      </w:r>
    </w:p>
    <w:p w14:paraId="05DF70F0"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In the personal systems market, HP has revenues of about $30 billion annually. Personal systems consist of notebooks, desktops, and workstations. Primarily, HP competes with Lenovo, Dell, Apple, Lenovo, and Toshiba in this segment. Printing has long been a stable for HP, competing with Canon, Lexmark, Xerox, </w:t>
      </w:r>
      <w:proofErr w:type="spellStart"/>
      <w:r>
        <w:rPr>
          <w:rFonts w:ascii="Helvetica" w:hAnsi="Helvetica" w:cs="Helvetica"/>
          <w:color w:val="080808"/>
          <w:sz w:val="32"/>
          <w:szCs w:val="32"/>
        </w:rPr>
        <w:t>Sieko</w:t>
      </w:r>
      <w:proofErr w:type="spellEnd"/>
      <w:r>
        <w:rPr>
          <w:rFonts w:ascii="Helvetica" w:hAnsi="Helvetica" w:cs="Helvetica"/>
          <w:color w:val="080808"/>
          <w:sz w:val="32"/>
          <w:szCs w:val="32"/>
        </w:rPr>
        <w:t>, Epson, and others. HP’s printing revenues are about $22 billion annually.</w:t>
      </w:r>
    </w:p>
    <w:p w14:paraId="67FC4C80"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The company’s Enterprise Group and Enterprise Services focus on technology infrastructure, IT services, consulting, and business outsourcing. Revenues are about $50 billion in these two segments. Top competitors in this area are IBM, Cisco, Microsoft, and Accenture. Software is a growing business worldwide, and HP competes with IBM, CA Technologies, BMC Software, and others. Software is one of the few bright spots for HP, with revenues increasing to over $4 billion in 2014.</w:t>
      </w:r>
    </w:p>
    <w:p w14:paraId="550FB5DF"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Hewlett Packard’s new Apollo 8000 system is the first super-computer to be 100 percent liquid cooled and offers direct competition to IBM’s high-end server market. The Apollo 8000 is priced from $500,000 to several million dollars. In addition to being liquid cooled, the new product operates 28 percent more efficiently than any other product on the market.</w:t>
      </w:r>
    </w:p>
    <w:p w14:paraId="56C11104" w14:textId="77777777" w:rsidR="00F43CE8" w:rsidRDefault="00F43CE8" w:rsidP="00F43CE8">
      <w:pPr>
        <w:widowControl w:val="0"/>
        <w:autoSpaceDE w:val="0"/>
        <w:autoSpaceDN w:val="0"/>
        <w:adjustRightInd w:val="0"/>
        <w:rPr>
          <w:rFonts w:ascii="Helvetica" w:hAnsi="Helvetica" w:cs="Helvetica"/>
          <w:color w:val="080808"/>
          <w:sz w:val="32"/>
          <w:szCs w:val="32"/>
        </w:rPr>
      </w:pPr>
      <w:proofErr w:type="gramStart"/>
      <w:r>
        <w:rPr>
          <w:rFonts w:ascii="Helvetica" w:hAnsi="Helvetica" w:cs="Helvetica"/>
          <w:color w:val="080808"/>
          <w:sz w:val="32"/>
          <w:szCs w:val="32"/>
        </w:rPr>
        <w:t>EOF:P</w:t>
      </w:r>
      <w:proofErr w:type="gramEnd"/>
      <w:r>
        <w:rPr>
          <w:rFonts w:ascii="Helvetica" w:hAnsi="Helvetica" w:cs="Helvetica"/>
          <w:color w:val="080808"/>
          <w:sz w:val="32"/>
          <w:szCs w:val="32"/>
        </w:rPr>
        <w:t>7000499184000000000000000006059</w:t>
      </w:r>
    </w:p>
    <w:p w14:paraId="47B69A99"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Accenture</w:t>
      </w:r>
    </w:p>
    <w:p w14:paraId="4355B8BF"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Based in Dublin, Ireland, Accenture is a management consulting and technology company. Accenture employs over 320,000 people, conducts business worldwide, and reported revenues of $32 billion in 2014, up from $27 billion in 2011. Accenture had acquisitions totaling over $800 million in 2013, most notably </w:t>
      </w:r>
      <w:proofErr w:type="spellStart"/>
      <w:r>
        <w:rPr>
          <w:rFonts w:ascii="Helvetica" w:hAnsi="Helvetica" w:cs="Helvetica"/>
          <w:color w:val="080808"/>
          <w:sz w:val="32"/>
          <w:szCs w:val="32"/>
        </w:rPr>
        <w:t>Acquity</w:t>
      </w:r>
      <w:proofErr w:type="spellEnd"/>
      <w:r>
        <w:rPr>
          <w:rFonts w:ascii="Helvetica" w:hAnsi="Helvetica" w:cs="Helvetica"/>
          <w:color w:val="080808"/>
          <w:sz w:val="32"/>
          <w:szCs w:val="32"/>
        </w:rPr>
        <w:t xml:space="preserve"> Group, Fjord, and </w:t>
      </w:r>
      <w:proofErr w:type="spellStart"/>
      <w:r>
        <w:rPr>
          <w:rFonts w:ascii="Helvetica" w:hAnsi="Helvetica" w:cs="Helvetica"/>
          <w:color w:val="080808"/>
          <w:sz w:val="32"/>
          <w:szCs w:val="32"/>
        </w:rPr>
        <w:t>AvVenta</w:t>
      </w:r>
      <w:proofErr w:type="spellEnd"/>
      <w:r>
        <w:rPr>
          <w:rFonts w:ascii="Helvetica" w:hAnsi="Helvetica" w:cs="Helvetica"/>
          <w:color w:val="080808"/>
          <w:sz w:val="32"/>
          <w:szCs w:val="32"/>
        </w:rPr>
        <w:t xml:space="preserve">. Many of the acquisitions were focused on helping Accenture’s marketing consulting businesses. Accenture recently formed a joint venture formed with GE called </w:t>
      </w:r>
      <w:proofErr w:type="spellStart"/>
      <w:r>
        <w:rPr>
          <w:rFonts w:ascii="Helvetica" w:hAnsi="Helvetica" w:cs="Helvetica"/>
          <w:color w:val="080808"/>
          <w:sz w:val="32"/>
          <w:szCs w:val="32"/>
        </w:rPr>
        <w:t>Taleris</w:t>
      </w:r>
      <w:proofErr w:type="spellEnd"/>
      <w:r>
        <w:rPr>
          <w:rFonts w:ascii="Helvetica" w:hAnsi="Helvetica" w:cs="Helvetica"/>
          <w:color w:val="080808"/>
          <w:sz w:val="32"/>
          <w:szCs w:val="32"/>
        </w:rPr>
        <w:t xml:space="preserve"> that enables airplanes to better anticipate aircraft maintenance issues. Accenture has seen the U.S. market grow at an annualized rate of 13 percent in revenues from 2011 to 2013, but continues to focus on emerging markets, especially Brazil.</w:t>
      </w:r>
    </w:p>
    <w:p w14:paraId="4A9D5712" w14:textId="77777777" w:rsidR="00F43CE8" w:rsidRDefault="00F43CE8" w:rsidP="00F43CE8">
      <w:pPr>
        <w:widowControl w:val="0"/>
        <w:autoSpaceDE w:val="0"/>
        <w:autoSpaceDN w:val="0"/>
        <w:adjustRightInd w:val="0"/>
        <w:rPr>
          <w:rFonts w:ascii="Helvetica" w:hAnsi="Helvetica" w:cs="Helvetica"/>
          <w:color w:val="444444"/>
          <w:sz w:val="68"/>
          <w:szCs w:val="68"/>
        </w:rPr>
      </w:pPr>
      <w:r>
        <w:rPr>
          <w:rFonts w:ascii="Helvetica" w:hAnsi="Helvetica" w:cs="Helvetica"/>
          <w:color w:val="444444"/>
          <w:sz w:val="68"/>
          <w:szCs w:val="68"/>
        </w:rPr>
        <w:t>External Audit</w:t>
      </w:r>
    </w:p>
    <w:p w14:paraId="112225A8"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Industry Growth Rate</w:t>
      </w:r>
    </w:p>
    <w:p w14:paraId="660B68E2"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Slow information technology (IT) growth continues in 2015. IDC, a global IT data provider, estimates growth from 2012 to 2017 to be around 4.6 percent annualized, as companies are reluctant to sign long-term contracts. Moving forward, the key areas of IT growth are expected in the following areas: application management, cloud computing, business consulting, network consulting and integration, and hosted application management. The areas listed are expected to grow annualized from 2012 to 2017 at 5.2, 23.5, 7.6, 6.6, and 7.4 percent, respectively. Cloud computing clearly dominates future expectations. Some analysts in fact predict over 80 percent of all IT growth between 2012 and 2017 will be cloud related.</w:t>
      </w:r>
    </w:p>
    <w:p w14:paraId="5EC3918C"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Areas of slower growth between 2012 and 2017 are expected to come from IT outsourcing, IT consulting, and IT hardware support at projected annualized growth rates of 1.3, 4.1, and 2.9 percent, respectively. </w:t>
      </w:r>
      <w:r>
        <w:rPr>
          <w:rFonts w:ascii="Helvetica" w:hAnsi="Helvetica" w:cs="Helvetica"/>
          <w:color w:val="EF2D37"/>
          <w:sz w:val="32"/>
          <w:szCs w:val="32"/>
        </w:rPr>
        <w:t>Exhibit 6</w:t>
      </w:r>
      <w:r>
        <w:rPr>
          <w:rFonts w:ascii="Helvetica" w:hAnsi="Helvetica" w:cs="Helvetica"/>
          <w:color w:val="080808"/>
          <w:sz w:val="32"/>
          <w:szCs w:val="32"/>
        </w:rPr>
        <w:t xml:space="preserve"> provides detailed projections from IDC on growth yields through 2017. Note that IT outsourcing is not expected to produce any real gains during the projected period. Business consulting and outsourcing are both prime areas of interest for firms moving forward the next several years; firms without a good presence in these areas will likely look to mergers and acquisitions to provide them a quick presence in these areas.</w:t>
      </w:r>
    </w:p>
    <w:p w14:paraId="0FB393D6" w14:textId="77777777" w:rsidR="00F43CE8" w:rsidRDefault="00F43CE8" w:rsidP="00F43CE8">
      <w:pPr>
        <w:widowControl w:val="0"/>
        <w:autoSpaceDE w:val="0"/>
        <w:autoSpaceDN w:val="0"/>
        <w:adjustRightInd w:val="0"/>
        <w:rPr>
          <w:rFonts w:ascii="Helvetica" w:hAnsi="Helvetica" w:cs="Helvetica"/>
          <w:b/>
          <w:bCs/>
          <w:color w:val="080808"/>
          <w:sz w:val="32"/>
          <w:szCs w:val="32"/>
        </w:rPr>
      </w:pPr>
      <w:r>
        <w:rPr>
          <w:rFonts w:ascii="Helvetica" w:hAnsi="Helvetica" w:cs="Helvetica"/>
          <w:b/>
          <w:bCs/>
          <w:color w:val="080808"/>
          <w:sz w:val="36"/>
          <w:szCs w:val="36"/>
        </w:rPr>
        <w:t>Exhibit</w:t>
      </w:r>
      <w:r>
        <w:rPr>
          <w:rFonts w:ascii="Helvetica" w:hAnsi="Helvetica" w:cs="Helvetica"/>
          <w:b/>
          <w:bCs/>
          <w:color w:val="080808"/>
          <w:sz w:val="32"/>
          <w:szCs w:val="32"/>
        </w:rPr>
        <w:t xml:space="preserve"> </w:t>
      </w:r>
      <w:r>
        <w:rPr>
          <w:rFonts w:ascii="Helvetica" w:hAnsi="Helvetica" w:cs="Helvetica"/>
          <w:b/>
          <w:bCs/>
          <w:color w:val="080808"/>
          <w:sz w:val="36"/>
          <w:szCs w:val="36"/>
        </w:rPr>
        <w:t>6</w:t>
      </w:r>
      <w:r>
        <w:rPr>
          <w:rFonts w:ascii="Helvetica" w:hAnsi="Helvetica" w:cs="Helvetica"/>
          <w:color w:val="444444"/>
          <w:sz w:val="28"/>
          <w:szCs w:val="28"/>
        </w:rPr>
        <w:t> </w:t>
      </w:r>
      <w:r>
        <w:rPr>
          <w:rFonts w:ascii="Helvetica" w:hAnsi="Helvetica" w:cs="Helvetica"/>
          <w:color w:val="444444"/>
          <w:sz w:val="28"/>
          <w:szCs w:val="28"/>
        </w:rPr>
        <w:t>Projected Industry Dollar and Returns for IT (in billions of USD)</w:t>
      </w:r>
    </w:p>
    <w:tbl>
      <w:tblPr>
        <w:tblW w:w="0" w:type="auto"/>
        <w:tblInd w:w="-108" w:type="dxa"/>
        <w:tblBorders>
          <w:top w:val="single" w:sz="8" w:space="0" w:color="595959"/>
          <w:left w:val="nil"/>
          <w:right w:val="nil"/>
        </w:tblBorders>
        <w:tblLayout w:type="fixed"/>
        <w:tblLook w:val="0000" w:firstRow="0" w:lastRow="0" w:firstColumn="0" w:lastColumn="0" w:noHBand="0" w:noVBand="0"/>
      </w:tblPr>
      <w:tblGrid>
        <w:gridCol w:w="5660"/>
        <w:gridCol w:w="1360"/>
        <w:gridCol w:w="1440"/>
        <w:gridCol w:w="1440"/>
        <w:gridCol w:w="1440"/>
        <w:gridCol w:w="3460"/>
      </w:tblGrid>
      <w:tr w:rsidR="00F43CE8" w14:paraId="08A25CDA" w14:textId="77777777">
        <w:tblPrEx>
          <w:tblCellMar>
            <w:top w:w="0" w:type="dxa"/>
            <w:bottom w:w="0" w:type="dxa"/>
          </w:tblCellMar>
        </w:tblPrEx>
        <w:tc>
          <w:tcPr>
            <w:tcW w:w="5660" w:type="dxa"/>
            <w:tcBorders>
              <w:top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773B2266" w14:textId="77777777" w:rsidR="00F43CE8" w:rsidRDefault="00F43CE8">
            <w:pPr>
              <w:widowControl w:val="0"/>
              <w:autoSpaceDE w:val="0"/>
              <w:autoSpaceDN w:val="0"/>
              <w:adjustRightInd w:val="0"/>
              <w:rPr>
                <w:rFonts w:ascii="Helvetica" w:hAnsi="Helvetica" w:cs="Helvetica"/>
                <w:b/>
                <w:bCs/>
                <w:color w:val="FFFFFF"/>
                <w:sz w:val="30"/>
                <w:szCs w:val="30"/>
              </w:rPr>
            </w:pPr>
          </w:p>
        </w:tc>
        <w:tc>
          <w:tcPr>
            <w:tcW w:w="136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32A3A2F5"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2014</w:t>
            </w:r>
          </w:p>
        </w:tc>
        <w:tc>
          <w:tcPr>
            <w:tcW w:w="144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4AAF6D3E"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2015</w:t>
            </w:r>
          </w:p>
        </w:tc>
        <w:tc>
          <w:tcPr>
            <w:tcW w:w="144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46FEAE01"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2016</w:t>
            </w:r>
          </w:p>
        </w:tc>
        <w:tc>
          <w:tcPr>
            <w:tcW w:w="144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336624F8"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2017</w:t>
            </w:r>
          </w:p>
        </w:tc>
        <w:tc>
          <w:tcPr>
            <w:tcW w:w="3460" w:type="dxa"/>
            <w:tcBorders>
              <w:top w:val="single" w:sz="8" w:space="0" w:color="595959"/>
              <w:left w:val="single" w:sz="8" w:space="0" w:color="595959"/>
              <w:bottom w:val="single" w:sz="8" w:space="0" w:color="595959"/>
            </w:tcBorders>
            <w:shd w:val="clear" w:color="auto" w:fill="auto"/>
            <w:tcMar>
              <w:top w:w="300" w:type="nil"/>
              <w:left w:w="300" w:type="nil"/>
              <w:bottom w:w="300" w:type="nil"/>
              <w:right w:w="300" w:type="nil"/>
            </w:tcMar>
          </w:tcPr>
          <w:p w14:paraId="70A5184E"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2014–2017 Yields (%)</w:t>
            </w:r>
          </w:p>
        </w:tc>
      </w:tr>
      <w:tr w:rsidR="00F43CE8" w14:paraId="76C41D33"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7D0DC0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Area</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296DC28" w14:textId="77777777" w:rsidR="00F43CE8" w:rsidRDefault="00F43CE8">
            <w:pPr>
              <w:widowControl w:val="0"/>
              <w:autoSpaceDE w:val="0"/>
              <w:autoSpaceDN w:val="0"/>
              <w:adjustRightInd w:val="0"/>
              <w:rPr>
                <w:rFonts w:ascii="Helvetica" w:hAnsi="Helvetica" w:cs="Helvetica"/>
                <w:color w:val="080808"/>
                <w:sz w:val="30"/>
                <w:szCs w:val="30"/>
              </w:rPr>
            </w:pP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088A08D" w14:textId="77777777" w:rsidR="00F43CE8" w:rsidRDefault="00F43CE8">
            <w:pPr>
              <w:widowControl w:val="0"/>
              <w:autoSpaceDE w:val="0"/>
              <w:autoSpaceDN w:val="0"/>
              <w:adjustRightInd w:val="0"/>
              <w:rPr>
                <w:rFonts w:ascii="Helvetica" w:hAnsi="Helvetica" w:cs="Helvetica"/>
                <w:color w:val="080808"/>
                <w:sz w:val="30"/>
                <w:szCs w:val="30"/>
              </w:rPr>
            </w:pP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4844001" w14:textId="77777777" w:rsidR="00F43CE8" w:rsidRDefault="00F43CE8">
            <w:pPr>
              <w:widowControl w:val="0"/>
              <w:autoSpaceDE w:val="0"/>
              <w:autoSpaceDN w:val="0"/>
              <w:adjustRightInd w:val="0"/>
              <w:rPr>
                <w:rFonts w:ascii="Helvetica" w:hAnsi="Helvetica" w:cs="Helvetica"/>
                <w:color w:val="080808"/>
                <w:sz w:val="30"/>
                <w:szCs w:val="30"/>
              </w:rPr>
            </w:pP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0983DCF" w14:textId="77777777" w:rsidR="00F43CE8" w:rsidRDefault="00F43CE8">
            <w:pPr>
              <w:widowControl w:val="0"/>
              <w:autoSpaceDE w:val="0"/>
              <w:autoSpaceDN w:val="0"/>
              <w:adjustRightInd w:val="0"/>
              <w:rPr>
                <w:rFonts w:ascii="Helvetica" w:hAnsi="Helvetica" w:cs="Helvetica"/>
                <w:color w:val="080808"/>
                <w:sz w:val="30"/>
                <w:szCs w:val="30"/>
              </w:rPr>
            </w:pP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0B87E0B4" w14:textId="77777777" w:rsidR="00F43CE8" w:rsidRDefault="00F43CE8">
            <w:pPr>
              <w:widowControl w:val="0"/>
              <w:autoSpaceDE w:val="0"/>
              <w:autoSpaceDN w:val="0"/>
              <w:adjustRightInd w:val="0"/>
              <w:rPr>
                <w:rFonts w:ascii="Helvetica" w:hAnsi="Helvetica" w:cs="Helvetica"/>
                <w:color w:val="080808"/>
                <w:sz w:val="30"/>
                <w:szCs w:val="30"/>
              </w:rPr>
            </w:pPr>
          </w:p>
        </w:tc>
      </w:tr>
      <w:tr w:rsidR="00F43CE8" w14:paraId="0056FEDC"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CA1162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Business consulting</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ADAB95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$92</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405382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$100</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747886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$108</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E47E02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$117</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766E4B9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27%</w:t>
            </w:r>
          </w:p>
        </w:tc>
      </w:tr>
      <w:tr w:rsidR="00F43CE8" w14:paraId="0FADB610"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47BDC1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IT consulting</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EB84C7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33</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F59F96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34</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9C1902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36</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1C4EB3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37</w:t>
            </w: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4A7F460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w:t>
            </w:r>
          </w:p>
        </w:tc>
      </w:tr>
      <w:tr w:rsidR="00F43CE8" w14:paraId="45E50CED"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62E368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Systems integration</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5EF24D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121</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265751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127</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948FE0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132</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045CE6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138</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610CDF7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14</w:t>
            </w:r>
          </w:p>
        </w:tc>
      </w:tr>
      <w:tr w:rsidR="00F43CE8" w14:paraId="2E676BE2"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F2DCB3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Network consulting &amp; integration</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ADAFFF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40</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E9B472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43</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6049C0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46</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9E16BC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49</w:t>
            </w: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57F007C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23</w:t>
            </w:r>
          </w:p>
        </w:tc>
      </w:tr>
      <w:tr w:rsidR="00F43CE8" w14:paraId="5ECD24F3"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0A289F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Customer application development</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694239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43</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C266E0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45</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957433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48</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3BAF5B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50</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4670572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16</w:t>
            </w:r>
          </w:p>
        </w:tc>
      </w:tr>
      <w:tr w:rsidR="00F43CE8" w14:paraId="691C8440"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F0F62A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Project-based Total</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C49965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329</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E19351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349</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81670A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369</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FEC5A4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391</w:t>
            </w: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294F7A8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19</w:t>
            </w:r>
          </w:p>
        </w:tc>
      </w:tr>
      <w:tr w:rsidR="00F43CE8" w14:paraId="5005314D"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060A8B1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Business outsourcing</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5D86537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177</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053C9D8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188</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017303D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198</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34679F8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209</w:t>
            </w:r>
          </w:p>
        </w:tc>
        <w:tc>
          <w:tcPr>
            <w:tcW w:w="3460" w:type="dxa"/>
            <w:tcBorders>
              <w:top w:val="single" w:sz="8" w:space="0" w:color="595959"/>
              <w:left w:val="single" w:sz="8" w:space="0" w:color="595959"/>
              <w:bottom w:val="single" w:sz="8" w:space="0" w:color="595959"/>
            </w:tcBorders>
            <w:shd w:val="clear" w:color="auto" w:fill="E6E6E6"/>
            <w:tcMar>
              <w:top w:w="300" w:type="nil"/>
              <w:left w:w="900" w:type="nil"/>
              <w:bottom w:w="300" w:type="nil"/>
              <w:right w:w="300" w:type="nil"/>
            </w:tcMar>
          </w:tcPr>
          <w:p w14:paraId="0660F0D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32</w:t>
            </w:r>
          </w:p>
        </w:tc>
      </w:tr>
      <w:tr w:rsidR="00F43CE8" w14:paraId="00F49870"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241457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Application management</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D1259A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57</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405D50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60</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EC9347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63</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7EEC6C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65</w:t>
            </w: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6E4C520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14</w:t>
            </w:r>
          </w:p>
        </w:tc>
      </w:tr>
      <w:tr w:rsidR="00F43CE8" w14:paraId="0B1F91C1"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288C0C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Hosted application management</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3576B3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BB88CF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203FEB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E4EEA4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15</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747D6F3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25</w:t>
            </w:r>
          </w:p>
        </w:tc>
      </w:tr>
      <w:tr w:rsidR="00F43CE8" w14:paraId="595560B6"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52762C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IT outsourcing</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304E83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126</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E4E9A1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128</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8796E9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129</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5939C3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129</w:t>
            </w: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2ADC1D1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w:t>
            </w:r>
          </w:p>
        </w:tc>
      </w:tr>
      <w:tr w:rsidR="00F43CE8" w14:paraId="6AB3D753"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B6C000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Network &amp; desktop outsourcing</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94A0B8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51</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8A9CF2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53</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57BF39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55</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F3CB01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57</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263C19B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w:t>
            </w:r>
          </w:p>
        </w:tc>
      </w:tr>
      <w:tr w:rsidR="00F43CE8" w14:paraId="5DB8B8A6"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058746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Hosting infrastructure services</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C775B4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39</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9F693C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42</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3902E5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44</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D4E423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48</w:t>
            </w: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4E4F929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21</w:t>
            </w:r>
          </w:p>
        </w:tc>
      </w:tr>
      <w:tr w:rsidR="00F43CE8" w14:paraId="1C9B4EF8"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2909EC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Outsourcing Total</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129314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461</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453847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482</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30CF09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503</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276AF4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524</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3E2E987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14</w:t>
            </w:r>
          </w:p>
        </w:tc>
      </w:tr>
      <w:tr w:rsidR="00F43CE8" w14:paraId="03BB75FD"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0D3135B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Hardware deployment/support</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33E795F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67</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5670D35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69</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4168635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71</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5CB78C9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73</w:t>
            </w:r>
          </w:p>
        </w:tc>
        <w:tc>
          <w:tcPr>
            <w:tcW w:w="3460" w:type="dxa"/>
            <w:tcBorders>
              <w:top w:val="single" w:sz="8" w:space="0" w:color="595959"/>
              <w:left w:val="single" w:sz="8" w:space="0" w:color="595959"/>
              <w:bottom w:val="single" w:sz="8" w:space="0" w:color="595959"/>
            </w:tcBorders>
            <w:shd w:val="clear" w:color="auto" w:fill="FFFFFF"/>
            <w:tcMar>
              <w:top w:w="300" w:type="nil"/>
              <w:left w:w="900" w:type="nil"/>
              <w:bottom w:w="300" w:type="nil"/>
              <w:right w:w="300" w:type="nil"/>
            </w:tcMar>
          </w:tcPr>
          <w:p w14:paraId="08997F7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w:t>
            </w:r>
          </w:p>
        </w:tc>
      </w:tr>
      <w:tr w:rsidR="00F43CE8" w14:paraId="2EEACC64"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9AA0D2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Software deployment/support</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BC76B6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74</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C6F5CC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76</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7461CE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79</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7CF73A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82</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3C94AE2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11</w:t>
            </w:r>
          </w:p>
        </w:tc>
      </w:tr>
      <w:tr w:rsidR="00F43CE8" w14:paraId="6343F06A"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0AFDC3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IT education/training</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59FF32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25</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4413DA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26</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5E7CE9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27</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8EC7DC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28</w:t>
            </w: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33A1DA6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w:t>
            </w:r>
          </w:p>
        </w:tc>
      </w:tr>
      <w:tr w:rsidR="00F43CE8" w14:paraId="0323DD2F" w14:textId="77777777">
        <w:tblPrEx>
          <w:tblBorders>
            <w:top w:val="none" w:sz="0" w:space="0" w:color="auto"/>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06AF44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Support/training Total</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22A964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165</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6D4AC2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171</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7DD96D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177</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AF03F7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183</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3DBFD38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11</w:t>
            </w:r>
          </w:p>
        </w:tc>
      </w:tr>
      <w:tr w:rsidR="00F43CE8" w14:paraId="7D11A353" w14:textId="77777777">
        <w:tblPrEx>
          <w:tblBorders>
            <w:top w:val="none" w:sz="0" w:space="0" w:color="auto"/>
            <w:bottom w:val="single" w:sz="8" w:space="0" w:color="595959"/>
          </w:tblBorders>
          <w:tblCellMar>
            <w:top w:w="0" w:type="dxa"/>
            <w:bottom w:w="0" w:type="dxa"/>
          </w:tblCellMar>
        </w:tblPrEx>
        <w:tc>
          <w:tcPr>
            <w:tcW w:w="5660" w:type="dxa"/>
            <w:tcBorders>
              <w:top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11E90B7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Total global services spending</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3468F72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955</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39DF2CE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1,002</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41CA4C3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1,049</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08D9EF7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1,098</w:t>
            </w:r>
          </w:p>
        </w:tc>
        <w:tc>
          <w:tcPr>
            <w:tcW w:w="3460" w:type="dxa"/>
            <w:tcBorders>
              <w:top w:val="single" w:sz="8" w:space="0" w:color="595959"/>
              <w:left w:val="single" w:sz="8" w:space="0" w:color="595959"/>
              <w:bottom w:val="single" w:sz="8" w:space="0" w:color="595959"/>
            </w:tcBorders>
            <w:shd w:val="clear" w:color="auto" w:fill="FFFFFF"/>
            <w:tcMar>
              <w:top w:w="300" w:type="nil"/>
              <w:left w:w="900" w:type="nil"/>
              <w:bottom w:w="300" w:type="nil"/>
              <w:right w:w="300" w:type="nil"/>
            </w:tcMar>
          </w:tcPr>
          <w:p w14:paraId="2BC343E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15</w:t>
            </w:r>
          </w:p>
        </w:tc>
      </w:tr>
    </w:tbl>
    <w:p w14:paraId="28B3AB41" w14:textId="77777777" w:rsidR="00F43CE8" w:rsidRDefault="00F43CE8" w:rsidP="00F43CE8">
      <w:pPr>
        <w:widowControl w:val="0"/>
        <w:autoSpaceDE w:val="0"/>
        <w:autoSpaceDN w:val="0"/>
        <w:adjustRightInd w:val="0"/>
        <w:rPr>
          <w:rFonts w:ascii="Helvetica" w:hAnsi="Helvetica" w:cs="Helvetica"/>
          <w:color w:val="444444"/>
          <w:sz w:val="22"/>
          <w:szCs w:val="22"/>
        </w:rPr>
      </w:pPr>
      <w:r>
        <w:rPr>
          <w:rFonts w:ascii="Helvetica" w:hAnsi="Helvetica" w:cs="Helvetica"/>
          <w:b/>
          <w:bCs/>
          <w:color w:val="444444"/>
          <w:sz w:val="22"/>
          <w:szCs w:val="22"/>
        </w:rPr>
        <w:t>Source:</w:t>
      </w:r>
      <w:r>
        <w:rPr>
          <w:rFonts w:ascii="Helvetica" w:hAnsi="Helvetica" w:cs="Helvetica"/>
          <w:color w:val="444444"/>
          <w:sz w:val="22"/>
          <w:szCs w:val="22"/>
        </w:rPr>
        <w:t xml:space="preserve"> Based on IDC’s March 2013 forecast report.</w:t>
      </w:r>
    </w:p>
    <w:p w14:paraId="0FBD9915"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As per IT growth by geographic region, Asia has experienced the best growth rates of late, with China up 7.7 percent, Indonesia up 6.2 percent, Vietnam up 5.0 percent, and India up 3.2 percent in 2012. Europe, still recovering from its economic debt crisis, reported the smallest growth rates, with the United Kingdom up only 0.2 percent and Germany up 0.9 percent. The United States experienced IT growth of 2.8 percent in 2012.</w:t>
      </w:r>
    </w:p>
    <w:p w14:paraId="77A68481" w14:textId="77777777" w:rsidR="00F43CE8" w:rsidRDefault="00F43CE8" w:rsidP="00F43CE8">
      <w:pPr>
        <w:widowControl w:val="0"/>
        <w:autoSpaceDE w:val="0"/>
        <w:autoSpaceDN w:val="0"/>
        <w:adjustRightInd w:val="0"/>
        <w:rPr>
          <w:rFonts w:ascii="Helvetica" w:hAnsi="Helvetica" w:cs="Helvetica"/>
          <w:color w:val="080808"/>
          <w:sz w:val="32"/>
          <w:szCs w:val="32"/>
        </w:rPr>
      </w:pPr>
      <w:proofErr w:type="gramStart"/>
      <w:r>
        <w:rPr>
          <w:rFonts w:ascii="Helvetica" w:hAnsi="Helvetica" w:cs="Helvetica"/>
          <w:color w:val="080808"/>
          <w:sz w:val="32"/>
          <w:szCs w:val="32"/>
        </w:rPr>
        <w:t>EOF:P</w:t>
      </w:r>
      <w:proofErr w:type="gramEnd"/>
      <w:r>
        <w:rPr>
          <w:rFonts w:ascii="Helvetica" w:hAnsi="Helvetica" w:cs="Helvetica"/>
          <w:color w:val="080808"/>
          <w:sz w:val="32"/>
          <w:szCs w:val="32"/>
        </w:rPr>
        <w:t>70004991840000000000000000060DE EOF:P70004991840000000000000000060E2 EOF:P70004991840000000000000000060E5</w:t>
      </w:r>
    </w:p>
    <w:p w14:paraId="4A364CD0"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Computers and Servers</w:t>
      </w:r>
    </w:p>
    <w:p w14:paraId="202D9C75"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The desktop computer, laptop computer, and server industry has declined in the United States on average 17 percent per year from 2009 to 2014, and is expected to decline another 5 percent per year into 2019, despite a slight increase in demand. High standardization of products makes differentiating product lines difficult, resulting in reduced prices for manufacturers. Compounding problems, new competitors are able to enter the industry fairly easily, creating downward pressure on prices. Increases in tablet and smartphone demand also erode into PC sales, but analysts expect a sizable market for PCs to remain for quite some time.</w:t>
      </w:r>
    </w:p>
    <w:p w14:paraId="10D806A1"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Software</w:t>
      </w:r>
    </w:p>
    <w:p w14:paraId="4A8304F6"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The business of data analytics, data storage, and security are growing. IBM primarily competes in the data analytics and data storage arenas, both representing around 20 percent of a $170 billion industry (in sales) in the United States alone. Smartphone apps represent about 2 percent of this industry, but further growth is expected. In total, around 3 percent growth is forecasted in the software area through 2019 in this country. But this industry requires large R&amp;D expenses to stay current, as well as an expensive labor force, protection of patents and piracy risks, and substantial marketing.</w:t>
      </w:r>
    </w:p>
    <w:p w14:paraId="1F622D3B"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Legal and Ethical Big Data Considerations</w:t>
      </w:r>
    </w:p>
    <w:p w14:paraId="146DFE70"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In the last 5 years, the general public has become especially aware and suspicious of data usage. Privacy concerns have arisen and even rights to who owns the data presents a problem moving forward for corporations in the data business. The use of data, and more specifically the information that can be derived from data, has grown faster than our legal systems can keep up. Netflix, AOL, and even the Eric Snowden incident involving release of U.S. secrets have exposed issues related to the use of big data.</w:t>
      </w:r>
    </w:p>
    <w:p w14:paraId="5AC6C589"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Your web-browsing history, emails, texts, tweets, posts, and movements around town are now tracked. To what extent do firms need permission to obtain this personal data? Can data that an individual agreed to be collected then be sold to a third party? Should the individual be compensated for data collected from her or his actions each time the data are used? What guarantees can be made to ensure privacy so certain individuals cannot be pinpointed out of a database? The volume and nature of how data can be used is growing faster than world government legal systems can adapt to. The threat of legal issues against firms using big data is increasing daily. Complicating legal issues further, will negligence attorneys use data to prosecute corporations and governments for </w:t>
      </w:r>
      <w:r>
        <w:rPr>
          <w:rFonts w:ascii="Helvetica" w:hAnsi="Helvetica" w:cs="Helvetica"/>
          <w:i/>
          <w:iCs/>
          <w:color w:val="080808"/>
          <w:sz w:val="32"/>
          <w:szCs w:val="32"/>
        </w:rPr>
        <w:t>not</w:t>
      </w:r>
      <w:r>
        <w:rPr>
          <w:rFonts w:ascii="Helvetica" w:hAnsi="Helvetica" w:cs="Helvetica"/>
          <w:color w:val="080808"/>
          <w:sz w:val="32"/>
          <w:szCs w:val="32"/>
        </w:rPr>
        <w:t xml:space="preserve"> using data to predict and foresee potential problems?</w:t>
      </w:r>
    </w:p>
    <w:p w14:paraId="1694F11D" w14:textId="77777777" w:rsidR="00F43CE8" w:rsidRDefault="00F43CE8" w:rsidP="00F43CE8">
      <w:pPr>
        <w:widowControl w:val="0"/>
        <w:autoSpaceDE w:val="0"/>
        <w:autoSpaceDN w:val="0"/>
        <w:adjustRightInd w:val="0"/>
        <w:rPr>
          <w:rFonts w:ascii="Helvetica" w:hAnsi="Helvetica" w:cs="Helvetica"/>
          <w:color w:val="444444"/>
          <w:sz w:val="68"/>
          <w:szCs w:val="68"/>
        </w:rPr>
      </w:pPr>
      <w:r>
        <w:rPr>
          <w:rFonts w:ascii="Helvetica" w:hAnsi="Helvetica" w:cs="Helvetica"/>
          <w:color w:val="444444"/>
          <w:sz w:val="68"/>
          <w:szCs w:val="68"/>
        </w:rPr>
        <w:t>Future</w:t>
      </w:r>
    </w:p>
    <w:p w14:paraId="6AF29EEE"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In early 2015, Marriott and IBM announced a deal to move 80 percent of Marriott’s old-school technology to what’s known as a “hybrid” cloud built by IBM. That means Marriott will use IBM’s cloud to host apps that it doesn’t want to host. Marriott will keep its data centers but will update them to use the latest cloud technology. Marriott’s infrastructure supports over 4,000 locations worldwide. This deal was similar to the $500 million, 6-year deal IBM signed a year ago with insurance giant The Hartford.</w:t>
      </w:r>
    </w:p>
    <w:p w14:paraId="78C7EF8B"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IBM’s three initiatives focus on the cloud, big data, and systems of engagement, but the future of those industries is uncertain. In fiscal 2014, IBM divested its Customer Care BPO and System x businesses. Company revenues fell 11 percent between fiscal years 2012 and 2014; the firm’s stock price fell 17 percent over the same time frame while the S&amp;P 500 increased 60 percent. Prepare a needed, 3-year strategic plan for CEO Virginia Rometty and Big Blue.</w:t>
      </w:r>
    </w:p>
    <w:p w14:paraId="293D94AB" w14:textId="77777777" w:rsidR="00F43CE8" w:rsidRDefault="00F43CE8" w:rsidP="00F43CE8">
      <w:pPr>
        <w:widowControl w:val="0"/>
        <w:autoSpaceDE w:val="0"/>
        <w:autoSpaceDN w:val="0"/>
        <w:adjustRightInd w:val="0"/>
        <w:rPr>
          <w:rFonts w:ascii="Helvetica" w:hAnsi="Helvetica" w:cs="Helvetica"/>
          <w:color w:val="080808"/>
          <w:sz w:val="32"/>
          <w:szCs w:val="32"/>
        </w:rPr>
      </w:pPr>
      <w:proofErr w:type="gramStart"/>
      <w:r>
        <w:rPr>
          <w:rFonts w:ascii="Helvetica" w:hAnsi="Helvetica" w:cs="Helvetica"/>
          <w:color w:val="080808"/>
          <w:sz w:val="32"/>
          <w:szCs w:val="32"/>
        </w:rPr>
        <w:t>EOF:P</w:t>
      </w:r>
      <w:proofErr w:type="gramEnd"/>
      <w:r>
        <w:rPr>
          <w:rFonts w:ascii="Helvetica" w:hAnsi="Helvetica" w:cs="Helvetica"/>
          <w:color w:val="080808"/>
          <w:sz w:val="32"/>
          <w:szCs w:val="32"/>
        </w:rPr>
        <w:t>7000499184000000000000000005F2C EOF:P7000499184000000000000000005F36 EOF:P7000499184000000000000000005F43 EOF:P700049918400000000000000000602B EOF:P700049918400000000000000000605C EOF:P70004991840000000000000000060E9</w:t>
      </w:r>
    </w:p>
    <w:p w14:paraId="3A7D30A0" w14:textId="77777777" w:rsidR="00F43CE8" w:rsidRDefault="00F43CE8" w:rsidP="00F43CE8">
      <w:pPr>
        <w:widowControl w:val="0"/>
        <w:autoSpaceDE w:val="0"/>
        <w:autoSpaceDN w:val="0"/>
        <w:adjustRightInd w:val="0"/>
        <w:rPr>
          <w:rFonts w:ascii="Helvetica" w:hAnsi="Helvetica" w:cs="Helvetica"/>
          <w:color w:val="EF2D37"/>
          <w:sz w:val="40"/>
          <w:szCs w:val="40"/>
        </w:rPr>
      </w:pPr>
      <w:r>
        <w:rPr>
          <w:rFonts w:ascii="Helvetica" w:hAnsi="Helvetica" w:cs="Helvetica"/>
          <w:i/>
          <w:iCs/>
          <w:noProof/>
          <w:color w:val="EF2D37"/>
          <w:sz w:val="40"/>
          <w:szCs w:val="40"/>
        </w:rPr>
        <w:drawing>
          <wp:inline distT="0" distB="0" distL="0" distR="0" wp14:anchorId="272EDE4B" wp14:editId="4C12AA0E">
            <wp:extent cx="1562100" cy="2794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2100" cy="279400"/>
                    </a:xfrm>
                    <a:prstGeom prst="rect">
                      <a:avLst/>
                    </a:prstGeom>
                    <a:noFill/>
                    <a:ln>
                      <a:noFill/>
                    </a:ln>
                  </pic:spPr>
                </pic:pic>
              </a:graphicData>
            </a:graphic>
          </wp:inline>
        </w:drawing>
      </w:r>
    </w:p>
    <w:p w14:paraId="6FBF2F0E"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For additional assurance of learning questions which prove you understand and are able to apply the strategic concepts in this case, go to the assignment section of your &lt;a data-</w:t>
      </w:r>
      <w:proofErr w:type="spellStart"/>
      <w:r>
        <w:rPr>
          <w:rFonts w:ascii="Helvetica" w:hAnsi="Helvetica" w:cs="Helvetica"/>
          <w:color w:val="080808"/>
          <w:sz w:val="32"/>
          <w:szCs w:val="32"/>
        </w:rPr>
        <w:t>chaucer</w:t>
      </w:r>
      <w:proofErr w:type="spellEnd"/>
      <w:r>
        <w:rPr>
          <w:rFonts w:ascii="Helvetica" w:hAnsi="Helvetica" w:cs="Helvetica"/>
          <w:color w:val="080808"/>
          <w:sz w:val="32"/>
          <w:szCs w:val="32"/>
        </w:rPr>
        <w:t xml:space="preserve">-element-id="10d6c8fd-851e-4462-96cc-8c6c5843f948" </w:t>
      </w:r>
      <w:proofErr w:type="spellStart"/>
      <w:r>
        <w:rPr>
          <w:rFonts w:ascii="Helvetica" w:hAnsi="Helvetica" w:cs="Helvetica"/>
          <w:color w:val="080808"/>
          <w:sz w:val="32"/>
          <w:szCs w:val="32"/>
        </w:rPr>
        <w:t>href</w:t>
      </w:r>
      <w:proofErr w:type="spellEnd"/>
      <w:r>
        <w:rPr>
          <w:rFonts w:ascii="Helvetica" w:hAnsi="Helvetica" w:cs="Helvetica"/>
          <w:color w:val="080808"/>
          <w:sz w:val="32"/>
          <w:szCs w:val="32"/>
        </w:rPr>
        <w:t>="http://MyLab.com" class="</w:t>
      </w:r>
      <w:proofErr w:type="spellStart"/>
      <w:r>
        <w:rPr>
          <w:rFonts w:ascii="Helvetica" w:hAnsi="Helvetica" w:cs="Helvetica"/>
          <w:color w:val="080808"/>
          <w:sz w:val="32"/>
          <w:szCs w:val="32"/>
        </w:rPr>
        <w:t>ulink</w:t>
      </w:r>
      <w:proofErr w:type="spellEnd"/>
      <w:r>
        <w:rPr>
          <w:rFonts w:ascii="Helvetica" w:hAnsi="Helvetica" w:cs="Helvetica"/>
          <w:color w:val="080808"/>
          <w:sz w:val="32"/>
          <w:szCs w:val="32"/>
        </w:rPr>
        <w:t>"&gt;</w:t>
      </w:r>
      <w:proofErr w:type="spellStart"/>
      <w:r>
        <w:rPr>
          <w:rFonts w:ascii="Helvetica" w:hAnsi="Helvetica" w:cs="Helvetica"/>
          <w:color w:val="080808"/>
          <w:sz w:val="32"/>
          <w:szCs w:val="32"/>
        </w:rPr>
        <w:t>MyLab</w:t>
      </w:r>
      <w:proofErr w:type="spellEnd"/>
      <w:r>
        <w:rPr>
          <w:rFonts w:ascii="Helvetica" w:hAnsi="Helvetica" w:cs="Helvetica"/>
          <w:color w:val="080808"/>
          <w:sz w:val="32"/>
          <w:szCs w:val="32"/>
        </w:rPr>
        <w:t>&lt;/a&gt;.</w:t>
      </w:r>
    </w:p>
    <w:p w14:paraId="147D307D" w14:textId="77777777" w:rsidR="00554CDF" w:rsidRDefault="00F43CE8" w:rsidP="00F43CE8">
      <w:r>
        <w:rPr>
          <w:rFonts w:ascii="Helvetica" w:hAnsi="Helvetica" w:cs="Helvetica"/>
          <w:color w:val="080808"/>
          <w:sz w:val="32"/>
          <w:szCs w:val="32"/>
        </w:rPr>
        <w:t>©March 17, 2018 11:04 pm</w:t>
      </w:r>
      <w:bookmarkStart w:id="0" w:name="_GoBack"/>
      <w:bookmarkEnd w:id="0"/>
    </w:p>
    <w:sectPr w:rsidR="00554CDF" w:rsidSect="000651C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CE8"/>
    <w:rsid w:val="000651CD"/>
    <w:rsid w:val="00106937"/>
    <w:rsid w:val="00F43C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C5BFD2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ibm.com/" TargetMode="External"/><Relationship Id="rId6" Type="http://schemas.openxmlformats.org/officeDocument/2006/relationships/hyperlink" Target="http://www.strategyclub.com/" TargetMode="External"/><Relationship Id="rId7" Type="http://schemas.openxmlformats.org/officeDocument/2006/relationships/hyperlink" Target="https://content.openclass.com/eps/pearson-reader/api/item/5237b030-dfc9-11e5-95f5-cd3b5082a19b/1/file/david-acaacc-16e_v3b/OPS/xhtml/bkm03_sec_22.xhtml#P7000499184000000000000000005F48"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4316</Words>
  <Characters>24604</Characters>
  <Application>Microsoft Macintosh Word</Application>
  <DocSecurity>0</DocSecurity>
  <Lines>205</Lines>
  <Paragraphs>57</Paragraphs>
  <ScaleCrop>false</ScaleCrop>
  <LinksUpToDate>false</LinksUpToDate>
  <CharactersWithSpaces>28863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Al Senan</dc:creator>
  <cp:keywords/>
  <dc:description/>
  <cp:lastModifiedBy>Hussain Al Senan</cp:lastModifiedBy>
  <cp:revision>1</cp:revision>
  <dcterms:created xsi:type="dcterms:W3CDTF">2018-03-18T03:20:00Z</dcterms:created>
  <dcterms:modified xsi:type="dcterms:W3CDTF">2018-03-18T03:21:00Z</dcterms:modified>
</cp:coreProperties>
</file>